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media/image1.jpeg" ContentType="image/jpeg"/>
  <Override PartName="/word/media/image2.png" ContentType="image/png"/>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3200400" cy="683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3200400" cy="683895"/>
                    </a:xfrm>
                    <a:prstGeom prst="rect">
                      <a:avLst/>
                    </a:prstGeom>
                    <a:noFill/>
                  </pic:spPr>
                </pic:pic>
              </a:graphicData>
            </a:graphic>
          </wp:inline>
        </w:drawing>
      </w:r>
    </w:p>
    <w:p>
      <w:pPr>
        <w:pStyle w:val="Normal"/>
        <w:jc w:val="center"/>
        <w:rPr>
          <w:lang w:val="pl-PL"/>
        </w:rPr>
      </w:pPr>
      <w:r>
        <w:rPr>
          <w:b/>
          <w:color w:val="124C7E"/>
          <w:sz w:val="40"/>
          <w:lang w:val="pl-PL"/>
        </w:rPr>
        <w:t>PROSPEKT INFORMACYJNY</w:t>
      </w:r>
    </w:p>
    <w:p>
      <w:pPr>
        <w:pStyle w:val="Normal"/>
        <w:jc w:val="center"/>
        <w:rPr>
          <w:lang w:val="pl-PL"/>
        </w:rPr>
      </w:pPr>
      <w:r>
        <w:rPr>
          <w:lang w:val="pl-PL"/>
        </w:rPr>
        <w:t xml:space="preserve">Norwida IX </w:t>
      </w:r>
    </w:p>
    <w:p>
      <w:pPr>
        <w:pStyle w:val="Normal"/>
        <w:jc w:val="center"/>
        <w:rPr>
          <w:lang w:val="pl-PL"/>
        </w:rPr>
      </w:pPr>
      <w:r>
        <w:rPr>
          <w:lang w:val="pl-PL"/>
        </w:rPr>
        <w:t>Etap II</w:t>
      </w:r>
    </w:p>
    <w:p>
      <w:pPr>
        <w:pStyle w:val="p1"/>
        <w:rPr>
          <w:b/>
          <w:bCs/>
          <w:sz w:val="16"/>
          <w:szCs w:val="16"/>
        </w:rPr>
      </w:pPr>
      <w:r>
        <w:rPr>
          <w:b/>
          <w:bCs/>
          <w:sz w:val="16"/>
          <w:szCs w:val="16"/>
        </w:rPr>
        <w:t>CZĘŚĆ OGÓLNA</w:t>
      </w:r>
    </w:p>
    <w:p>
      <w:pPr>
        <w:pStyle w:val="p1"/>
        <w:rPr>
          <w:b/>
          <w:bCs/>
          <w:sz w:val="16"/>
          <w:szCs w:val="16"/>
        </w:rPr>
      </w:pPr>
      <w:r>
        <w:rPr>
          <w:b/>
          <w:bCs/>
          <w:sz w:val="16"/>
          <w:szCs w:val="16"/>
        </w:rPr>
      </w:r>
    </w:p>
    <w:p>
      <w:pPr>
        <w:pStyle w:val="p1"/>
        <w:rPr>
          <w:b/>
          <w:bCs/>
          <w:sz w:val="16"/>
          <w:szCs w:val="16"/>
        </w:rPr>
      </w:pPr>
      <w:r>
        <w:rPr>
          <w:b/>
          <w:bCs/>
          <w:sz w:val="16"/>
          <w:szCs w:val="16"/>
        </w:rPr>
        <w:t>I. DANE IDENTYFIKACYJNE I KONTAKTOWE DOTYCZĄCE DEWELOPERA</w:t>
      </w:r>
    </w:p>
    <w:tbl>
      <w:tblPr>
        <w:tblStyle w:val="Tabela-Siatka"/>
        <w:tblpPr w:vertAnchor="text" w:horzAnchor="margin" w:leftFromText="141" w:rightFromText="141" w:tblpX="0" w:tblpY="3"/>
        <w:tblW w:w="8780" w:type="dxa"/>
        <w:jc w:val="start"/>
        <w:tblInd w:w="-5" w:type="dxa"/>
        <w:tblLayout w:type="fixed"/>
        <w:tblCellMar>
          <w:top w:w="0" w:type="dxa"/>
          <w:start w:w="108" w:type="dxa"/>
          <w:bottom w:w="0" w:type="dxa"/>
          <w:end w:w="108" w:type="dxa"/>
        </w:tblCellMar>
        <w:tblLook w:val="04a0" w:noVBand="1" w:noHBand="0" w:lastColumn="0" w:firstColumn="1" w:lastRow="0" w:firstRow="1"/>
      </w:tblPr>
      <w:tblGrid>
        <w:gridCol w:w="4390"/>
        <w:gridCol w:w="2195"/>
        <w:gridCol w:w="2195"/>
      </w:tblGrid>
      <w:tr>
        <w:trPr/>
        <w:tc>
          <w:tcPr>
            <w:tcW w:w="8780" w:type="dxa"/>
            <w:gridSpan w:val="3"/>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DANE DEWELOPERA</w:t>
            </w:r>
          </w:p>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r>
      <w:tr>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Deweloper</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pl-PL" w:eastAsia="en-US" w:bidi="ar-SA"/>
              </w:rPr>
              <w:t xml:space="preserve">DOMY SŁUPNO SPÓŁKA Z OGRANICZONĄ ODPOWIEDZIALNOŚCIĄ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r>
      <w:tr>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Adres</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pl-PL" w:eastAsia="en-US" w:bidi="ar-SA"/>
              </w:rPr>
              <w:t>UL. NOWOGRODZKA 44 LOK.9 A, 00-695 WARSZAWA</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r>
      <w:tr>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Numery NIP i REGON</w:t>
            </w:r>
            <w:r>
              <w:rPr>
                <w:rStyle w:val="apple-converted-space"/>
                <w:kern w:val="0"/>
                <w:sz w:val="16"/>
                <w:szCs w:val="16"/>
                <w:lang w:bidi="ar-SA"/>
              </w:rPr>
              <w:t>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195" w:type="dxa"/>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en-US" w:eastAsia="en-US" w:bidi="ar-SA"/>
              </w:rPr>
              <w:t xml:space="preserve">NIP 7010983108  </w:t>
            </w:r>
          </w:p>
        </w:tc>
        <w:tc>
          <w:tcPr>
            <w:tcW w:w="2195" w:type="dxa"/>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en-US" w:eastAsia="en-US" w:bidi="ar-SA"/>
              </w:rPr>
              <w:t>REGON 386125981</w:t>
            </w:r>
          </w:p>
        </w:tc>
      </w:tr>
      <w:tr>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Numer telefonu</w:t>
            </w:r>
            <w:r>
              <w:rPr>
                <w:rStyle w:val="apple-converted-space"/>
                <w:kern w:val="0"/>
                <w:sz w:val="16"/>
                <w:szCs w:val="16"/>
                <w:lang w:bidi="ar-SA"/>
              </w:rPr>
              <w:t>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pl-PL" w:eastAsia="en-US" w:bidi="ar-SA"/>
              </w:rPr>
              <w:t>+48 533-316-446</w:t>
            </w:r>
          </w:p>
        </w:tc>
      </w:tr>
      <w:tr>
        <w:trPr>
          <w:trHeight w:val="164" w:hRule="atLeast"/>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Adres poczty elektronicznej</w:t>
            </w:r>
            <w:r>
              <w:rPr>
                <w:rStyle w:val="apple-converted-space"/>
                <w:kern w:val="0"/>
                <w:sz w:val="16"/>
                <w:szCs w:val="16"/>
                <w:lang w:bidi="ar-SA"/>
              </w:rPr>
              <w:t>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hyperlink r:id="rId3">
              <w:r>
                <w:rPr>
                  <w:rStyle w:val="Hyperlink"/>
                  <w:rFonts w:eastAsia="MS Mincho" w:cs="Arial"/>
                  <w:kern w:val="0"/>
                  <w:sz w:val="16"/>
                  <w:szCs w:val="16"/>
                  <w:lang w:val="pl-PL" w:eastAsia="en-US" w:bidi="ar-SA"/>
                </w:rPr>
                <w:t>biuro@maycom.pl</w:t>
              </w:r>
            </w:hyperlink>
          </w:p>
        </w:tc>
      </w:tr>
      <w:tr>
        <w:trPr>
          <w:trHeight w:val="164" w:hRule="atLeast"/>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Numer faksu</w:t>
            </w:r>
            <w:r>
              <w:rPr>
                <w:rStyle w:val="apple-converted-space"/>
                <w:kern w:val="0"/>
                <w:sz w:val="16"/>
                <w:szCs w:val="16"/>
                <w:lang w:bidi="ar-SA"/>
              </w:rPr>
              <w:t>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r>
      <w:tr>
        <w:trPr>
          <w:trHeight w:val="164" w:hRule="atLeast"/>
        </w:trPr>
        <w:tc>
          <w:tcPr>
            <w:tcW w:w="4390" w:type="dxa"/>
            <w:tcBorders/>
            <w:shd w:color="auto" w:fill="B8CCE4" w:themeFill="accent1" w:themeFillTint="66" w:val="clear"/>
          </w:tcPr>
          <w:p>
            <w:pPr>
              <w:pStyle w:val="p1"/>
              <w:widowControl/>
              <w:suppressAutoHyphens w:val="true"/>
              <w:spacing w:before="0" w:after="0"/>
              <w:jc w:val="start"/>
              <w:rPr>
                <w:sz w:val="16"/>
                <w:szCs w:val="16"/>
              </w:rPr>
            </w:pPr>
            <w:r>
              <w:rPr>
                <w:kern w:val="0"/>
                <w:sz w:val="16"/>
                <w:szCs w:val="16"/>
                <w:lang w:bidi="ar-SA"/>
              </w:rPr>
              <w:t>Adres strony internetowej dewelopera</w:t>
            </w:r>
            <w:r>
              <w:rPr>
                <w:rStyle w:val="apple-converted-space"/>
                <w:kern w:val="0"/>
                <w:sz w:val="16"/>
                <w:szCs w:val="16"/>
                <w:lang w:bidi="ar-SA"/>
              </w:rPr>
              <w:t> </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4390" w:type="dxa"/>
            <w:gridSpan w:val="2"/>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pl-PL" w:eastAsia="en-US" w:bidi="ar-SA"/>
              </w:rPr>
              <w:t>https://www.maycom.pl</w:t>
            </w:r>
          </w:p>
        </w:tc>
      </w:tr>
    </w:tbl>
    <w:p>
      <w:pPr>
        <w:pStyle w:val="Normal"/>
        <w:jc w:val="center"/>
        <w:rPr>
          <w:lang w:val="pl-PL"/>
        </w:rPr>
      </w:pPr>
      <w:r>
        <w:rPr>
          <w:lang w:val="pl-PL"/>
        </w:rPr>
      </w:r>
    </w:p>
    <w:p>
      <w:pPr>
        <w:pStyle w:val="Normal"/>
        <w:jc w:val="center"/>
        <w:rPr>
          <w:lang w:val="pl-PL"/>
        </w:rPr>
      </w:pPr>
      <w:r>
        <w:rPr>
          <w:lang w:val="pl-PL"/>
        </w:rPr>
      </w:r>
    </w:p>
    <w:p>
      <w:pPr>
        <w:pStyle w:val="p1"/>
        <w:rPr>
          <w:sz w:val="16"/>
          <w:szCs w:val="16"/>
        </w:rPr>
      </w:pPr>
      <w:r>
        <w:rPr>
          <w:sz w:val="16"/>
          <w:szCs w:val="16"/>
        </w:rPr>
        <w:t>II. DOŚWIADCZENIE DEWELOPERA</w:t>
      </w:r>
    </w:p>
    <w:tbl>
      <w:tblPr>
        <w:tblStyle w:val="Tabela-Siatka"/>
        <w:tblW w:w="8780"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4390"/>
        <w:gridCol w:w="4390"/>
      </w:tblGrid>
      <w:tr>
        <w:trPr/>
        <w:tc>
          <w:tcPr>
            <w:tcW w:w="8780" w:type="dxa"/>
            <w:gridSpan w:val="2"/>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HISTORIA I UDOKUMENTOWANE DOŚWIADCZENIE DEWELOPERA</w:t>
            </w:r>
          </w:p>
          <w:p>
            <w:pPr>
              <w:pStyle w:val="Normal"/>
              <w:widowControl/>
              <w:suppressAutoHyphens w:val="true"/>
              <w:spacing w:lineRule="auto" w:line="240" w:before="0" w:after="0"/>
              <w:jc w:val="start"/>
              <w:rPr>
                <w:rFonts w:ascii="Helvetica" w:hAnsi="Helvetica" w:hint="eastAsia"/>
                <w:sz w:val="16"/>
                <w:szCs w:val="16"/>
              </w:rPr>
            </w:pPr>
            <w:r>
              <w:rPr>
                <w:rFonts w:eastAsia="" w:cs="" w:hint="eastAsia" w:ascii="Helvetica" w:hAnsi="Helvetica"/>
                <w:kern w:val="0"/>
                <w:sz w:val="16"/>
                <w:szCs w:val="16"/>
                <w:lang w:val="en-US" w:eastAsia="en-US" w:bidi="ar-SA"/>
              </w:rPr>
            </w:r>
          </w:p>
        </w:tc>
      </w:tr>
      <w:tr>
        <w:trPr/>
        <w:tc>
          <w:tcPr>
            <w:tcW w:w="8780" w:type="dxa"/>
            <w:gridSpan w:val="2"/>
            <w:tcBorders/>
            <w:shd w:color="auto" w:fill="4F81BD" w:themeFill="accent1" w:val="clear"/>
          </w:tcPr>
          <w:p>
            <w:pPr>
              <w:pStyle w:val="p1"/>
              <w:widowControl/>
              <w:suppressAutoHyphens w:val="true"/>
              <w:spacing w:before="0" w:after="0"/>
              <w:jc w:val="start"/>
              <w:rPr>
                <w:b/>
                <w:bCs/>
                <w:sz w:val="16"/>
                <w:szCs w:val="16"/>
              </w:rPr>
            </w:pPr>
            <w:r>
              <w:rPr>
                <w:b/>
                <w:bCs/>
                <w:kern w:val="0"/>
                <w:sz w:val="16"/>
                <w:szCs w:val="16"/>
                <w:lang w:bidi="ar-SA"/>
              </w:rPr>
              <w:t>PRZYKŁAD UKOŃCZONEGO PRZEDSIĘWZIĘCIA DEWELOPERSKIEGO</w:t>
            </w:r>
          </w:p>
        </w:tc>
      </w:tr>
      <w:tr>
        <w:trPr>
          <w:trHeight w:val="164"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Adres</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Ul. Ignacego Krasickiego 31 od A do R </w:t>
            </w:r>
          </w:p>
        </w:tc>
      </w:tr>
      <w:tr>
        <w:trPr>
          <w:trHeight w:val="164"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 xml:space="preserve">Data rozpoczęcia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01.08.2021</w:t>
            </w:r>
          </w:p>
        </w:tc>
      </w:tr>
      <w:tr>
        <w:trPr>
          <w:trHeight w:val="164" w:hRule="atLeast"/>
        </w:trPr>
        <w:tc>
          <w:tcPr>
            <w:tcW w:w="4390"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Data wydania decyzji o pozwoleniu na użytkowanie</w:t>
            </w:r>
            <w:r>
              <w:rPr>
                <w:rStyle w:val="apple-converted-space"/>
                <w:kern w:val="0"/>
                <w:sz w:val="16"/>
                <w:szCs w:val="16"/>
                <w:lang w:bidi="ar-SA"/>
              </w:rPr>
              <w:t>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31.07.2023</w:t>
            </w:r>
          </w:p>
        </w:tc>
      </w:tr>
      <w:tr>
        <w:trPr/>
        <w:tc>
          <w:tcPr>
            <w:tcW w:w="8780" w:type="dxa"/>
            <w:gridSpan w:val="2"/>
            <w:tcBorders/>
            <w:shd w:color="auto" w:fill="4F81BD" w:themeFill="accent1" w:val="clear"/>
          </w:tcPr>
          <w:p>
            <w:pPr>
              <w:pStyle w:val="p1"/>
              <w:widowControl/>
              <w:suppressAutoHyphens w:val="true"/>
              <w:spacing w:before="0" w:after="0"/>
              <w:jc w:val="start"/>
              <w:rPr>
                <w:b/>
                <w:bCs/>
                <w:sz w:val="16"/>
                <w:szCs w:val="16"/>
              </w:rPr>
            </w:pPr>
            <w:r>
              <w:rPr>
                <w:b/>
                <w:bCs/>
                <w:kern w:val="0"/>
                <w:sz w:val="16"/>
                <w:szCs w:val="16"/>
                <w:lang w:bidi="ar-SA"/>
              </w:rPr>
              <w:t>PRZYKŁAD INNEGO UKOŃCZONEGO PRZEDSIĘWZIĘCIA DEWELOPERSKIEGO</w:t>
            </w:r>
          </w:p>
        </w:tc>
      </w:tr>
      <w:tr>
        <w:trPr>
          <w:trHeight w:val="164"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Adres</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Ul. Ceglana 26 od A do G </w:t>
            </w:r>
          </w:p>
        </w:tc>
      </w:tr>
      <w:tr>
        <w:trPr>
          <w:trHeight w:val="164"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 xml:space="preserve">Data rozpoczęcia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16.08.2020</w:t>
            </w:r>
          </w:p>
        </w:tc>
      </w:tr>
      <w:tr>
        <w:trPr>
          <w:trHeight w:val="164" w:hRule="atLeast"/>
        </w:trPr>
        <w:tc>
          <w:tcPr>
            <w:tcW w:w="4390"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Data wydania decyzji o pozwoleniu na użytkowanie</w:t>
            </w:r>
            <w:r>
              <w:rPr>
                <w:rStyle w:val="apple-converted-space"/>
                <w:kern w:val="0"/>
                <w:sz w:val="16"/>
                <w:szCs w:val="16"/>
                <w:lang w:bidi="ar-SA"/>
              </w:rPr>
              <w:t>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20.04.2022</w:t>
            </w:r>
          </w:p>
        </w:tc>
      </w:tr>
      <w:tr>
        <w:trPr/>
        <w:tc>
          <w:tcPr>
            <w:tcW w:w="8780" w:type="dxa"/>
            <w:gridSpan w:val="2"/>
            <w:tcBorders/>
            <w:shd w:color="auto" w:fill="4F81BD" w:themeFill="accent1" w:val="clear"/>
          </w:tcPr>
          <w:p>
            <w:pPr>
              <w:pStyle w:val="p1"/>
              <w:widowControl/>
              <w:suppressAutoHyphens w:val="true"/>
              <w:spacing w:before="0" w:after="0"/>
              <w:jc w:val="start"/>
              <w:rPr>
                <w:b/>
                <w:bCs/>
                <w:sz w:val="16"/>
                <w:szCs w:val="16"/>
              </w:rPr>
            </w:pPr>
            <w:r>
              <w:rPr>
                <w:b/>
                <w:bCs/>
                <w:kern w:val="0"/>
                <w:sz w:val="16"/>
                <w:szCs w:val="16"/>
                <w:lang w:bidi="ar-SA"/>
              </w:rPr>
              <w:t>PRZYKŁAD OSTATNIEGO UKOŃCZONEGO PRZEDSIĘWZIĘCIA DEWELOPERSKIEGO</w:t>
            </w:r>
          </w:p>
        </w:tc>
      </w:tr>
      <w:tr>
        <w:trPr>
          <w:trHeight w:val="286"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Adres</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Ul. C.K Norwida od 117 do 167</w:t>
            </w:r>
          </w:p>
        </w:tc>
      </w:tr>
      <w:tr>
        <w:trPr>
          <w:trHeight w:val="163" w:hRule="atLeast"/>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 xml:space="preserve">Data rozpoczęcia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kern w:val="0"/>
                <w:sz w:val="16"/>
                <w:szCs w:val="16"/>
                <w:lang w:val="en-US" w:eastAsia="en-US" w:bidi="ar-SA"/>
              </w:rPr>
              <w:t>15.03.2025</w:t>
            </w:r>
          </w:p>
        </w:tc>
      </w:tr>
      <w:tr>
        <w:trPr>
          <w:trHeight w:val="163" w:hRule="atLeast"/>
        </w:trPr>
        <w:tc>
          <w:tcPr>
            <w:tcW w:w="4390"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Data wydania decyzji o pozwoleniu na użytkowanie</w:t>
            </w:r>
            <w:r>
              <w:rPr>
                <w:rStyle w:val="apple-converted-space"/>
                <w:kern w:val="0"/>
                <w:sz w:val="16"/>
                <w:szCs w:val="16"/>
                <w:lang w:bidi="ar-SA"/>
              </w:rPr>
              <w:t> </w:t>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13.01.2026</w:t>
            </w:r>
          </w:p>
        </w:tc>
      </w:tr>
      <w:tr>
        <w:trPr>
          <w:trHeight w:val="163" w:hRule="atLeast"/>
        </w:trPr>
        <w:tc>
          <w:tcPr>
            <w:tcW w:w="4390"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Czy przeciwko deweloperowi prowadzono (lub</w:t>
            </w:r>
          </w:p>
          <w:p>
            <w:pPr>
              <w:pStyle w:val="p2"/>
              <w:widowControl/>
              <w:suppressAutoHyphens w:val="true"/>
              <w:spacing w:before="0" w:after="0"/>
              <w:jc w:val="start"/>
              <w:rPr>
                <w:sz w:val="16"/>
                <w:szCs w:val="16"/>
              </w:rPr>
            </w:pPr>
            <w:r>
              <w:rPr>
                <w:kern w:val="0"/>
                <w:sz w:val="16"/>
                <w:szCs w:val="16"/>
                <w:lang w:bidi="ar-SA"/>
              </w:rPr>
              <w:t>prowadzi się) postępowania egzekucyjne na kwotę</w:t>
            </w:r>
          </w:p>
          <w:p>
            <w:pPr>
              <w:pStyle w:val="p2"/>
              <w:widowControl/>
              <w:suppressAutoHyphens w:val="true"/>
              <w:spacing w:before="0" w:after="0"/>
              <w:jc w:val="start"/>
              <w:rPr>
                <w:sz w:val="16"/>
                <w:szCs w:val="16"/>
              </w:rPr>
            </w:pPr>
            <w:r>
              <w:rPr>
                <w:kern w:val="0"/>
                <w:sz w:val="16"/>
                <w:szCs w:val="16"/>
                <w:lang w:bidi="ar-SA"/>
              </w:rPr>
              <w:t>powyżej 100 000 zł</w:t>
            </w:r>
          </w:p>
          <w:p>
            <w:pPr>
              <w:pStyle w:val="Normal"/>
              <w:widowControl/>
              <w:suppressAutoHyphens w:val="true"/>
              <w:spacing w:lineRule="auto" w:line="240" w:before="0" w:after="0"/>
              <w:jc w:val="start"/>
              <w:rPr>
                <w:rFonts w:ascii="Helvetica" w:hAnsi="Helvetica" w:hint="eastAsia"/>
                <w:sz w:val="16"/>
                <w:szCs w:val="16"/>
              </w:rPr>
            </w:pPr>
            <w:r>
              <w:rPr>
                <w:rFonts w:eastAsia="" w:cs="" w:hint="eastAsia" w:ascii="Helvetica" w:hAnsi="Helvetica"/>
                <w:kern w:val="0"/>
                <w:sz w:val="16"/>
                <w:szCs w:val="16"/>
                <w:lang w:val="en-US" w:eastAsia="en-US" w:bidi="ar-SA"/>
              </w:rPr>
            </w:r>
          </w:p>
        </w:tc>
        <w:tc>
          <w:tcPr>
            <w:tcW w:w="4390"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Przeciwko  deweloperowi  nie jest prowadzone  i nie było prowadzone   </w:t>
              <w:br/>
              <w:t>postępowanie  egzekucyjne</w:t>
              <w:br/>
              <w:t xml:space="preserve"> na kwotę  powyżej  100 000zł </w:t>
              <w:br/>
            </w:r>
          </w:p>
        </w:tc>
      </w:tr>
    </w:tbl>
    <w:p>
      <w:pPr>
        <w:pStyle w:val="p1"/>
        <w:rPr/>
      </w:pPr>
      <w:r>
        <w:rPr/>
      </w:r>
    </w:p>
    <w:p>
      <w:pPr>
        <w:pStyle w:val="p1"/>
        <w:rPr/>
      </w:pPr>
      <w:r>
        <w:rPr/>
      </w:r>
    </w:p>
    <w:p>
      <w:pPr>
        <w:pStyle w:val="p1"/>
        <w:rPr/>
      </w:pPr>
      <w:r>
        <w:rPr/>
      </w:r>
    </w:p>
    <w:p>
      <w:pPr>
        <w:pStyle w:val="p1"/>
        <w:rPr/>
      </w:pPr>
      <w:r>
        <w:rPr/>
      </w:r>
    </w:p>
    <w:p>
      <w:pPr>
        <w:pStyle w:val="p1"/>
        <w:rPr/>
      </w:pPr>
      <w:r>
        <w:rPr/>
      </w:r>
    </w:p>
    <w:p>
      <w:pPr>
        <w:pStyle w:val="p1"/>
        <w:rPr/>
      </w:pPr>
      <w:r>
        <w:rPr/>
      </w:r>
    </w:p>
    <w:p>
      <w:pPr>
        <w:pStyle w:val="p1"/>
        <w:rPr/>
      </w:pPr>
      <w:r>
        <w:rPr/>
      </w:r>
    </w:p>
    <w:p>
      <w:pPr>
        <w:pStyle w:val="p1"/>
        <w:rPr/>
      </w:pPr>
      <w:r>
        <w:rPr/>
      </w:r>
    </w:p>
    <w:p>
      <w:pPr>
        <w:pStyle w:val="p1"/>
        <w:rPr/>
      </w:pPr>
      <w:r>
        <w:rPr/>
      </w:r>
    </w:p>
    <w:p>
      <w:pPr>
        <w:pStyle w:val="p1"/>
        <w:rPr>
          <w:b/>
          <w:bCs/>
          <w:sz w:val="16"/>
          <w:szCs w:val="16"/>
        </w:rPr>
      </w:pPr>
      <w:r>
        <w:rPr>
          <w:b/>
          <w:bCs/>
          <w:sz w:val="16"/>
          <w:szCs w:val="16"/>
        </w:rPr>
        <w:t>III. INFORMACJE DOTYCZĄCE NIERUCHOMOŚCI I PRZEDSIĘWZIĘCIA DEWELOPERSKIEGO</w:t>
      </w:r>
    </w:p>
    <w:tbl>
      <w:tblPr>
        <w:tblStyle w:val="Tabela-Siatka"/>
        <w:tblW w:w="8914"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2969"/>
        <w:gridCol w:w="2973"/>
        <w:gridCol w:w="2972"/>
      </w:tblGrid>
      <w:tr>
        <w:trPr>
          <w:trHeight w:val="176" w:hRule="atLeast"/>
        </w:trPr>
        <w:tc>
          <w:tcPr>
            <w:tcW w:w="8914" w:type="dxa"/>
            <w:gridSpan w:val="3"/>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INFORMACJE DOTYCZĄCE GRUNTU I ZAGOSPODAROWANIA PRZESTRZENNEGO TERENU</w:t>
            </w:r>
          </w:p>
        </w:tc>
      </w:tr>
      <w:tr>
        <w:trPr>
          <w:trHeight w:val="550"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Adres, numer działki ewidencyjnej</w:t>
            </w:r>
          </w:p>
          <w:p>
            <w:pPr>
              <w:pStyle w:val="p1"/>
              <w:widowControl/>
              <w:suppressAutoHyphens w:val="true"/>
              <w:spacing w:before="0" w:after="0"/>
              <w:jc w:val="start"/>
              <w:rPr>
                <w:sz w:val="16"/>
                <w:szCs w:val="16"/>
              </w:rPr>
            </w:pPr>
            <w:r>
              <w:rPr>
                <w:kern w:val="0"/>
                <w:sz w:val="16"/>
                <w:szCs w:val="16"/>
                <w:lang w:bidi="ar-SA"/>
              </w:rPr>
              <w:t xml:space="preserve">i numer obrębu </w:t>
            </w:r>
            <w:r>
              <w:rPr>
                <w:rStyle w:val="s1"/>
                <w:kern w:val="0"/>
                <w:sz w:val="16"/>
                <w:szCs w:val="16"/>
                <w:lang w:bidi="ar-SA"/>
              </w:rPr>
              <w:t>ewidencyjnego</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działka  położona  we wsi Słupno  przy ul. </w:t>
            </w:r>
            <w:r>
              <w:rPr>
                <w:rFonts w:eastAsia="MS Mincho" w:cs="Arial" w:ascii="Helvetica" w:hAnsi="Helvetica"/>
                <w:kern w:val="0"/>
                <w:sz w:val="16"/>
                <w:szCs w:val="16"/>
                <w:lang w:val="en-US" w:eastAsia="en-US" w:bidi="ar-SA"/>
              </w:rPr>
              <w:t xml:space="preserve">Norwida </w:t>
              <w:br/>
              <w:t>dz. ew 526/14; 526/16</w:t>
              <w:br/>
            </w:r>
          </w:p>
        </w:tc>
      </w:tr>
      <w:tr>
        <w:trPr>
          <w:trHeight w:val="364"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Nr księgi wieczystej</w:t>
            </w:r>
            <w:r>
              <w:rPr>
                <w:rStyle w:val="apple-converted-space"/>
                <w:rFonts w:cs="Arial"/>
                <w:kern w:val="0"/>
                <w:sz w:val="16"/>
                <w:szCs w:val="16"/>
                <w:lang w:bidi="ar-SA"/>
              </w:rPr>
              <w:t>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en-US" w:eastAsia="en-US" w:bidi="ar-SA"/>
              </w:rPr>
              <w:t>WA1W/00034460/1</w:t>
            </w:r>
          </w:p>
        </w:tc>
      </w:tr>
      <w:tr>
        <w:trPr>
          <w:trHeight w:val="727"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Istniejące obciążenia hipoteczne</w:t>
            </w:r>
          </w:p>
          <w:p>
            <w:pPr>
              <w:pStyle w:val="p1"/>
              <w:widowControl/>
              <w:suppressAutoHyphens w:val="true"/>
              <w:spacing w:before="0" w:after="0"/>
              <w:jc w:val="start"/>
              <w:rPr>
                <w:sz w:val="16"/>
                <w:szCs w:val="16"/>
              </w:rPr>
            </w:pPr>
            <w:r>
              <w:rPr>
                <w:kern w:val="0"/>
                <w:sz w:val="16"/>
                <w:szCs w:val="16"/>
                <w:lang w:bidi="ar-SA"/>
              </w:rPr>
              <w:t>nieruchomości lub wnioski o wpis</w:t>
            </w:r>
          </w:p>
          <w:p>
            <w:pPr>
              <w:pStyle w:val="p1"/>
              <w:widowControl/>
              <w:suppressAutoHyphens w:val="true"/>
              <w:spacing w:before="0" w:after="0"/>
              <w:jc w:val="start"/>
              <w:rPr>
                <w:sz w:val="16"/>
                <w:szCs w:val="16"/>
              </w:rPr>
            </w:pPr>
            <w:r>
              <w:rPr>
                <w:kern w:val="0"/>
                <w:sz w:val="16"/>
                <w:szCs w:val="16"/>
                <w:lang w:bidi="ar-SA"/>
              </w:rPr>
              <w:t>w dziale czwartym księgi wieczystej</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Brak</w:t>
            </w:r>
          </w:p>
        </w:tc>
      </w:tr>
      <w:tr>
        <w:trPr>
          <w:trHeight w:val="1102"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W przypadku braku księgi wieczystej</w:t>
            </w:r>
          </w:p>
          <w:p>
            <w:pPr>
              <w:pStyle w:val="p1"/>
              <w:widowControl/>
              <w:suppressAutoHyphens w:val="true"/>
              <w:spacing w:before="0" w:after="0"/>
              <w:jc w:val="start"/>
              <w:rPr>
                <w:sz w:val="16"/>
                <w:szCs w:val="16"/>
              </w:rPr>
            </w:pPr>
            <w:r>
              <w:rPr>
                <w:rStyle w:val="s1"/>
                <w:kern w:val="0"/>
                <w:sz w:val="16"/>
                <w:szCs w:val="16"/>
                <w:lang w:bidi="ar-SA"/>
              </w:rPr>
              <w:t xml:space="preserve">informacja o </w:t>
            </w:r>
            <w:r>
              <w:rPr>
                <w:kern w:val="0"/>
                <w:sz w:val="16"/>
                <w:szCs w:val="16"/>
                <w:lang w:bidi="ar-SA"/>
              </w:rPr>
              <w:t>powierzchni działki i stanie</w:t>
            </w:r>
          </w:p>
          <w:p>
            <w:pPr>
              <w:pStyle w:val="p2"/>
              <w:widowControl/>
              <w:suppressAutoHyphens w:val="true"/>
              <w:spacing w:before="0" w:after="0"/>
              <w:jc w:val="start"/>
              <w:rPr>
                <w:sz w:val="16"/>
                <w:szCs w:val="16"/>
              </w:rPr>
            </w:pPr>
            <w:r>
              <w:rPr>
                <w:kern w:val="0"/>
                <w:sz w:val="16"/>
                <w:szCs w:val="16"/>
                <w:lang w:bidi="ar-SA"/>
              </w:rPr>
              <w:t>nie dotyczy</w:t>
            </w:r>
          </w:p>
          <w:p>
            <w:pPr>
              <w:pStyle w:val="p1"/>
              <w:widowControl/>
              <w:suppressAutoHyphens w:val="true"/>
              <w:spacing w:before="0" w:after="0"/>
              <w:jc w:val="start"/>
              <w:rPr>
                <w:sz w:val="16"/>
                <w:szCs w:val="16"/>
              </w:rPr>
            </w:pPr>
            <w:r>
              <w:rPr>
                <w:kern w:val="0"/>
                <w:sz w:val="16"/>
                <w:szCs w:val="16"/>
                <w:lang w:bidi="ar-SA"/>
              </w:rPr>
              <w:t>prawnym nieruchomości</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Nie dotyczy </w:t>
            </w:r>
          </w:p>
        </w:tc>
      </w:tr>
      <w:tr>
        <w:trPr>
          <w:trHeight w:val="914"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Informacje dotyczące obiektów istniejących</w:t>
            </w:r>
          </w:p>
          <w:p>
            <w:pPr>
              <w:pStyle w:val="p1"/>
              <w:widowControl/>
              <w:suppressAutoHyphens w:val="true"/>
              <w:spacing w:before="0" w:after="0"/>
              <w:jc w:val="start"/>
              <w:rPr>
                <w:sz w:val="16"/>
                <w:szCs w:val="16"/>
              </w:rPr>
            </w:pPr>
            <w:r>
              <w:rPr>
                <w:kern w:val="0"/>
                <w:sz w:val="16"/>
                <w:szCs w:val="16"/>
                <w:lang w:bidi="ar-SA"/>
              </w:rPr>
              <w:t>położonych w sąsiedztwie inwestycji i</w:t>
            </w:r>
          </w:p>
          <w:p>
            <w:pPr>
              <w:pStyle w:val="p1"/>
              <w:widowControl/>
              <w:suppressAutoHyphens w:val="true"/>
              <w:spacing w:before="0" w:after="0"/>
              <w:jc w:val="start"/>
              <w:rPr>
                <w:sz w:val="16"/>
                <w:szCs w:val="16"/>
              </w:rPr>
            </w:pPr>
            <w:r>
              <w:rPr>
                <w:kern w:val="0"/>
                <w:sz w:val="16"/>
                <w:szCs w:val="16"/>
                <w:lang w:bidi="ar-SA"/>
              </w:rPr>
              <w:t>wpływających na warunki życia</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Rów melioracyjny</w:t>
            </w:r>
          </w:p>
        </w:tc>
      </w:tr>
      <w:tr>
        <w:trPr>
          <w:trHeight w:val="1184" w:hRule="atLeast"/>
        </w:trPr>
        <w:tc>
          <w:tcPr>
            <w:tcW w:w="2969" w:type="dxa"/>
            <w:vMerge w:val="restart"/>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Akty planowania przestrzennego i inne akty</w:t>
            </w:r>
          </w:p>
          <w:p>
            <w:pPr>
              <w:pStyle w:val="p2"/>
              <w:widowControl/>
              <w:suppressAutoHyphens w:val="true"/>
              <w:spacing w:before="0" w:after="0"/>
              <w:jc w:val="start"/>
              <w:rPr>
                <w:sz w:val="16"/>
                <w:szCs w:val="16"/>
              </w:rPr>
            </w:pPr>
            <w:r>
              <w:rPr>
                <w:kern w:val="0"/>
                <w:sz w:val="16"/>
                <w:szCs w:val="16"/>
                <w:lang w:bidi="ar-SA"/>
              </w:rPr>
              <w:t>prawne na terenie objętym</w:t>
            </w:r>
          </w:p>
          <w:p>
            <w:pPr>
              <w:pStyle w:val="p2"/>
              <w:widowControl/>
              <w:suppressAutoHyphens w:val="true"/>
              <w:spacing w:before="0" w:after="0"/>
              <w:jc w:val="start"/>
              <w:rPr>
                <w:sz w:val="16"/>
                <w:szCs w:val="16"/>
              </w:rPr>
            </w:pPr>
            <w:r>
              <w:rPr>
                <w:kern w:val="0"/>
                <w:sz w:val="16"/>
                <w:szCs w:val="16"/>
                <w:lang w:bidi="ar-SA"/>
              </w:rPr>
              <w:t>przedsięwzięciem deweloperskim lub</w:t>
            </w:r>
          </w:p>
          <w:p>
            <w:pPr>
              <w:pStyle w:val="p1"/>
              <w:widowControl/>
              <w:suppressAutoHyphens w:val="true"/>
              <w:spacing w:before="0" w:after="0"/>
              <w:jc w:val="start"/>
              <w:rPr>
                <w:sz w:val="16"/>
                <w:szCs w:val="16"/>
              </w:rPr>
            </w:pPr>
            <w:r>
              <w:rPr>
                <w:kern w:val="0"/>
                <w:sz w:val="16"/>
                <w:szCs w:val="16"/>
                <w:lang w:bidi="ar-SA"/>
              </w:rPr>
              <w:t>zadaniem inwestycyjnym</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Plan ogólny gminy </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b/>
                <w:bCs/>
                <w:color w:themeColor="text1" w:val="000000"/>
                <w:kern w:val="0"/>
                <w:sz w:val="16"/>
                <w:szCs w:val="16"/>
                <w:lang w:bidi="ar-SA"/>
              </w:rPr>
              <w:t xml:space="preserve">UCHWAŁA NR 427/XXX/2021 RADY MIEJSKIEJ W RADZYMINIE z dnia 29 marca 2021 r.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b/>
                <w:bCs/>
                <w:color w:themeColor="text1" w:val="000000"/>
                <w:kern w:val="0"/>
                <w:sz w:val="16"/>
                <w:szCs w:val="16"/>
                <w:lang w:bidi="ar-SA"/>
              </w:rPr>
              <w:t xml:space="preserve">w sprawie zmiany Studium uwarunkowań́ i kierunków zagospodarowania przestrzennego Gminy Radzymin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Miejscowy plan zagospodarowania przestrzennego </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Uchwała Rady Miejskiej w Radzyminie Nr 514/XXXVI/2006 z dnia 20 października 2006 roku w sprawie zmiany miejscowego planu zagospodarowania przestrzennego miasta i gminy Radzymin</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Miejscowy plan odbudowy </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Nie dotyczy</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Inne4)</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Nie dotyczy</w:t>
            </w:r>
          </w:p>
        </w:tc>
      </w:tr>
      <w:tr>
        <w:trPr>
          <w:trHeight w:val="738"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Ustalenia obowiązującego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miejscowego planu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zagospodarowania przestrzennego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dla terenu objętego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przedsięwzięciem deweloperskim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lub zadaniem inwestycyjnym</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Przeznaczenie terenu</w:t>
            </w:r>
          </w:p>
        </w:tc>
        <w:tc>
          <w:tcPr>
            <w:tcW w:w="2972" w:type="dxa"/>
            <w:tcBorders/>
          </w:tcPr>
          <w:p>
            <w:pPr>
              <w:pStyle w:val="NormalWeb"/>
              <w:widowControl/>
              <w:suppressAutoHyphens w:val="true"/>
              <w:spacing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MN3/U-Zabudowa jednorodzinna o charakterze wiejskim/Usługi różne</w:t>
            </w:r>
          </w:p>
          <w:p>
            <w:pPr>
              <w:pStyle w:val="NormalWeb"/>
              <w:widowControl/>
              <w:suppressAutoHyphens w:val="true"/>
              <w:spacing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U/MN3Usługi różne/Zabudowa jednorodzinna o charakterze wiejskim</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intensywność</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i minimalna nadziemna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intensywność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powierzchnia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wysokość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10,5m</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Minimalny udział procentowy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powierzchni biologicznie czynnej</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40%</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Minimalna liczba miejsc</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do parkowania</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Jedno miejsce na jeden lokal mieszkalny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ochrony środowiska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 zdrowia ludzi, przyrody i krajobrazu</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Wymagania dotyczące zabudowy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 zagospodarowania terenu</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położonego na obszarach</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szczególnego zagrożenia powodzią</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ochrony dziedzictwa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kulturowego i zabytków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oraz dóbr kultury współczesnej</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Wymagania dotyczące ochrony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innych terenów lub obiektów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podlegających ochronie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na podstawie przepisów odrębnych</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komunikacji</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infrastruktury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technicznej</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w:t>
            </w:r>
          </w:p>
        </w:tc>
      </w:tr>
      <w:tr>
        <w:trPr>
          <w:trHeight w:val="727"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Ustalenia obowiązującego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miejscowego planu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zagospodarowania przestrzennego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dla działek lub ich fragmentów,</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znajdujących się w odległości</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do 100 m od granicy terenu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objętego przedsięwzięciem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deweloperskim lub zadaniem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inwestycyjnym5)</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Przeznaczenie terenu</w:t>
            </w:r>
          </w:p>
        </w:tc>
        <w:tc>
          <w:tcPr>
            <w:tcW w:w="2972" w:type="dxa"/>
            <w:tcBorders/>
          </w:tcPr>
          <w:p>
            <w:pPr>
              <w:pStyle w:val="NormalWeb"/>
              <w:widowControl/>
              <w:suppressAutoHyphens w:val="true"/>
              <w:spacing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MN3/U-Zabudowa jednorodzinna o charakterze wiejskim/Usługi różne</w:t>
            </w:r>
          </w:p>
          <w:p>
            <w:pPr>
              <w:pStyle w:val="NormalWeb"/>
              <w:widowControl/>
              <w:suppressAutoHyphens w:val="true"/>
              <w:spacing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U/MN3Usługi różne/Zabudowa jednorodzinna o charakterze wiejskim</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intensywność</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i minimalna nadziemna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intensywność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powierzchnia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Brak zapisów w planie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Maksymalna wysokość zabudowy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10,5m</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Minimalny udział procentowy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powierzchni biologicznie czynnej</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40%</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Minimalna liczba miejsc</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do parkowania</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Jedno miejsce na jeden lokal mieszkalny </w:t>
            </w:r>
          </w:p>
        </w:tc>
      </w:tr>
      <w:tr>
        <w:trPr>
          <w:trHeight w:val="504"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Ustalenia decyzji o warunkach</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zabudowy albo decyzji</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o ustaleniu lokalizacji inwestycji</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celu publicznego dla terenu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objętego przedsięwzięciem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deweloperskim lub zadaniem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inwestycyjnym w przypadku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braku miejscowego planu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zagospodarowania przestrzennego</w:t>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Funkcja zabudowy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 zagospodarowania terenu</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Sposób użytkowania obiektów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budowlanych oraz zagospodarowania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terenu</w:t>
            </w:r>
          </w:p>
        </w:tc>
      </w:tr>
      <w:tr>
        <w:trPr>
          <w:trHeight w:val="222"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Web"/>
              <w:widowControl/>
              <w:suppressAutoHyphens w:val="true"/>
              <w:spacing w:before="0" w:after="0"/>
              <w:jc w:val="both"/>
              <w:rPr>
                <w:rFonts w:ascii="Helvetica" w:hAnsi="Helvetica" w:eastAsia="Arial" w:cs="Arial"/>
                <w:color w:val="000000"/>
                <w:sz w:val="16"/>
                <w:szCs w:val="16"/>
              </w:rPr>
            </w:pPr>
            <w:r>
              <w:rPr>
                <w:rFonts w:eastAsia="Arial" w:cs="Arial" w:ascii="Helvetica" w:hAnsi="Helvetica"/>
                <w:color w:val="000000"/>
                <w:kern w:val="0"/>
                <w:sz w:val="16"/>
                <w:szCs w:val="16"/>
                <w:lang w:bidi="ar-SA"/>
              </w:rPr>
              <w:t>Cechy zabudowy i zagospodarowania terenu</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gabaryty</w:t>
            </w:r>
          </w:p>
        </w:tc>
        <w:tc>
          <w:tcPr>
            <w:tcW w:w="2972"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Nie dotyczy</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forma architektoniczna</w:t>
            </w:r>
          </w:p>
        </w:tc>
        <w:tc>
          <w:tcPr>
            <w:tcW w:w="2972"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color w:themeColor="text1" w:val="000000"/>
                <w:kern w:val="0"/>
                <w:sz w:val="16"/>
                <w:szCs w:val="16"/>
                <w:lang w:val="en-US" w:eastAsia="en-US" w:bidi="ar-SA"/>
              </w:rPr>
              <w:t xml:space="preserve">Nie dotyczy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usytuowanie linii zabudowy</w:t>
            </w:r>
          </w:p>
        </w:tc>
        <w:tc>
          <w:tcPr>
            <w:tcW w:w="2972"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color w:themeColor="text1" w:val="000000"/>
                <w:kern w:val="0"/>
                <w:sz w:val="16"/>
                <w:szCs w:val="16"/>
                <w:lang w:val="en-US" w:eastAsia="en-US" w:bidi="ar-SA"/>
              </w:rPr>
              <w:t xml:space="preserve">Nie dotyczy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intensywność wykorzystania terenu</w:t>
            </w:r>
          </w:p>
        </w:tc>
        <w:tc>
          <w:tcPr>
            <w:tcW w:w="2972"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color w:themeColor="text1" w:val="000000"/>
                <w:kern w:val="0"/>
                <w:sz w:val="16"/>
                <w:szCs w:val="16"/>
                <w:lang w:val="en-US" w:eastAsia="en-US" w:bidi="ar-SA"/>
              </w:rPr>
              <w:t xml:space="preserve">Nie dotyczy </w:t>
            </w:r>
          </w:p>
        </w:tc>
      </w:tr>
      <w:tr>
        <w:trPr>
          <w:trHeight w:val="56"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ochrony środowiska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 zdrowia ludzi, przyrody i krajobrazu</w:t>
            </w:r>
          </w:p>
        </w:tc>
        <w:tc>
          <w:tcPr>
            <w:tcW w:w="2972" w:type="dxa"/>
            <w:tcBorders/>
          </w:tcPr>
          <w:p>
            <w:pPr>
              <w:pStyle w:val="Normal"/>
              <w:widowControl/>
              <w:suppressAutoHyphens w:val="true"/>
              <w:spacing w:lineRule="auto" w:line="240" w:before="0" w:after="0"/>
              <w:jc w:val="start"/>
              <w:rPr>
                <w:rFonts w:ascii="Helvetica" w:hAnsi="Helvetica" w:hint="eastAsia"/>
                <w:sz w:val="16"/>
                <w:szCs w:val="16"/>
              </w:rPr>
            </w:pPr>
            <w:r>
              <w:rPr>
                <w:rFonts w:eastAsia="MS Mincho" w:cs="Arial" w:ascii="Helvetica" w:hAnsi="Helvetica"/>
                <w:color w:themeColor="text1" w:val="000000"/>
                <w:kern w:val="0"/>
                <w:sz w:val="16"/>
                <w:szCs w:val="16"/>
                <w:lang w:val="en-US" w:eastAsia="en-US" w:bidi="ar-SA"/>
              </w:rPr>
              <w:t xml:space="preserve">Nie dotyczy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suppressAutoHyphens w:val="true"/>
              <w:spacing w:before="0" w:after="0"/>
              <w:jc w:val="start"/>
              <w:rPr>
                <w:rFonts w:ascii="Helvetica" w:hAnsi="Helvetica" w:cs="Arial"/>
                <w:sz w:val="16"/>
                <w:szCs w:val="16"/>
              </w:rPr>
            </w:pPr>
            <w:r>
              <w:rPr>
                <w:rFonts w:cs="Arial" w:ascii="Helvetica" w:hAnsi="Helvetica"/>
                <w:kern w:val="0"/>
                <w:sz w:val="16"/>
                <w:szCs w:val="16"/>
                <w:lang w:bidi="ar-SA"/>
              </w:rPr>
              <w:t>wymagania dotyczące zabudowy i zagospodarowania terenu położonego na obszarach szczególnego zagrożenia powodzią</w:t>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 dotyczy</w:t>
            </w:r>
          </w:p>
        </w:tc>
      </w:tr>
      <w:tr>
        <w:trPr>
          <w:trHeight w:val="504"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Informacje dotyczące</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przewidzianych inwestycji</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w promieniu 1 km od terenu</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objętego przedsięwzięciem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deweloperskim lub zadaniem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inwestycyjnym6), zawarte w:</w:t>
            </w:r>
          </w:p>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ochrony dziedzictwa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kulturowego i zabytków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oraz dóbr kultury współczesnej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wymagania dotyczące ochrony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innych terenów lub obiektów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podlegających ochronie na podstawie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przepisów odrębnych</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komunikacji</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infrastruktury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technicznej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minimalny udział procentowy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powierzchni biologicznie czynnej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nadziemna intensywność zabudowy</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wysokość zabudowy</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ochrony dziedzictwa</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kulturowego i zabytków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oraz dóbr kultury współczesnej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56"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sz w:val="16"/>
                <w:szCs w:val="16"/>
                <w:lang w:val="pl-PL"/>
              </w:rPr>
            </w:pPr>
            <w:r>
              <w:rPr>
                <w:rFonts w:eastAsia="" w:cs=""/>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wymagania dotyczące ochrony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innych terenów lub obiektów</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podlegających ochronie na podstawie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przepisów odrębnych</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komunikacji</w:t>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warunki i szczegółowe zasady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obsługi w zakresie infrastruktury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technicznej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minimalny udział procentowy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powierzchni biologicznie czynnej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nadziemna intensywność zabudowy</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Ustalenia decyzji w zakresie rozmieszczenia inwestycji celu publicznego,</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mogące mieć znaczenie dla terenu objętego przedsięwzięciem deweloperskim</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lub zadaniem inwestycyjnym:</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suppressAutoHyphens w:val="true"/>
              <w:spacing w:before="0" w:after="0"/>
              <w:jc w:val="start"/>
              <w:rPr>
                <w:rFonts w:ascii="Helvetica" w:hAnsi="Helvetica"/>
                <w:sz w:val="16"/>
                <w:szCs w:val="16"/>
              </w:rPr>
            </w:pPr>
            <w:r>
              <w:rPr>
                <w:rFonts w:ascii="Helvetica" w:hAnsi="Helvetica"/>
                <w:kern w:val="0"/>
                <w:sz w:val="16"/>
                <w:szCs w:val="16"/>
                <w:lang w:bidi="ar-SA"/>
              </w:rPr>
              <w:t>decyzja o zezwoleniu na realizację inwestycji drogowej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 linii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kolejowej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eastAsia="" w:cs="" w:cstheme="minorBidi" w:eastAsiaTheme="minorEastAsia" w:hint="eastAsia"/>
                <w:color w:themeColor="text1" w:val="000000"/>
                <w:sz w:val="16"/>
                <w:szCs w:val="16"/>
              </w:rPr>
            </w:pPr>
            <w:r>
              <w:rPr>
                <w:rFonts w:eastAsia="" w:cs="" w:cstheme="minorBidi" w:eastAsiaTheme="minorEastAsia" w:hint="eastAsia" w:ascii="Helvetica" w:hAnsi="Helvetica"/>
                <w:color w:themeColor="text1" w:val="000000"/>
                <w:kern w:val="0"/>
                <w:sz w:val="16"/>
                <w:szCs w:val="16"/>
                <w:lang w:bidi="ar-SA"/>
              </w:rPr>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pozwoleniu na realizację</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inwestycji w zakresie budowli przeciwpowodziowych</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cs="Arial" w:ascii="Helvetica" w:hAnsi="Helvetica"/>
                <w:kern w:val="0"/>
                <w:sz w:val="16"/>
                <w:szCs w:val="16"/>
                <w:lang w:bidi="ar-SA"/>
              </w:rPr>
            </w:r>
          </w:p>
        </w:tc>
        <w:tc>
          <w:tcPr>
            <w:tcW w:w="2972" w:type="dxa"/>
            <w:tcBorders/>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inwestycji w zakresie budowy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obiektu energetyki jądrowej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strategicznej inwestycji w zakresie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sieci przesyłowej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regionalnej sieci szerokopasmowej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inwestycji w zakresie Centralnego</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Portu Komunikacyjnego</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zezwoleniu na realizację</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inwestycji w zakresie infrastruktury</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dostępowej</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strategicznej inwestycji w sektorze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naftowym</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decyzja o ustaleniu lokalizacji</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strategicznej inwestycji w sektorze</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naftowym</w:t>
            </w:r>
          </w:p>
        </w:tc>
        <w:tc>
          <w:tcPr>
            <w:tcW w:w="2972" w:type="dxa"/>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w:t>
            </w:r>
          </w:p>
        </w:tc>
      </w:tr>
      <w:tr>
        <w:trPr>
          <w:trHeight w:val="137" w:hRule="atLeast"/>
        </w:trPr>
        <w:tc>
          <w:tcPr>
            <w:tcW w:w="8914" w:type="dxa"/>
            <w:gridSpan w:val="3"/>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INFORMACJE DOTYCZĄCE BUDYNKU</w:t>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Czy jest pozwolenie na budowę </w:t>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Tak</w:t>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Czy pozwolenie na budowę jest ostateczne </w:t>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Tak</w:t>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Czy pozwolenie na budowę jest zaskarżone </w:t>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w:t>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Numer pozwolenia na budowę oraz nazwa organu, który je wydał </w:t>
            </w:r>
          </w:p>
        </w:tc>
        <w:tc>
          <w:tcPr>
            <w:tcW w:w="5945" w:type="dxa"/>
            <w:gridSpan w:val="2"/>
            <w:tcBorders/>
          </w:tcPr>
          <w:p>
            <w:pPr>
              <w:pStyle w:val="Normal"/>
              <w:widowControl/>
              <w:suppressAutoHyphens w:val="true"/>
              <w:spacing w:lineRule="auto" w:line="240" w:before="0" w:after="0"/>
              <w:jc w:val="start"/>
              <w:rPr>
                <w:sz w:val="16"/>
                <w:szCs w:val="16"/>
                <w:lang w:val="pl-PL"/>
              </w:rPr>
            </w:pPr>
            <w:r>
              <w:rPr>
                <w:rFonts w:eastAsia="MS Mincho" w:cs="Arial"/>
                <w:kern w:val="0"/>
                <w:sz w:val="16"/>
                <w:szCs w:val="16"/>
                <w:lang w:val="pl-PL" w:eastAsia="en-US" w:bidi="ar-SA"/>
              </w:rPr>
              <w:t xml:space="preserve">Decyzja budowlana nr 667pR/2025 z dnia 15.09.2025 Wydana przez Starostę Wołomińskiego </w:t>
            </w:r>
          </w:p>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Data uprawomocnienia się decyzji o pozwoleniu na użytkowanie budynku </w:t>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 dotyczy</w:t>
            </w:r>
          </w:p>
        </w:tc>
      </w:tr>
      <w:tr>
        <w:trPr>
          <w:trHeight w:val="137" w:hRule="atLeast"/>
        </w:trPr>
        <w:tc>
          <w:tcPr>
            <w:tcW w:w="2969"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Numer zgłoszenia budowy,</w:t>
              <w:br/>
              <w:t>o której mowa w art. 29 ust. 1 pkt 1 ustawy z dnia 7 lipca 1994 r. – Prawo budowlane (Dz. U. z 2021 r. poz. 2351, z późn. zm.), oraz oznaczenie organu, do którego dokonano zgłoszenia, wraz</w:t>
              <w:br/>
              <w:t xml:space="preserve">z informacją o braku wniesienia sprzeciwu przez ten organ </w:t>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Nie dotyczy </w:t>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color w:themeColor="text1" w:val="000000"/>
                <w:sz w:val="16"/>
                <w:szCs w:val="16"/>
                <w:lang w:val="pl-PL"/>
              </w:rPr>
            </w:pPr>
            <w:r>
              <w:rPr>
                <w:rFonts w:eastAsia="MS Mincho" w:cs="Arial" w:ascii="Helvetica" w:hAnsi="Helvetica"/>
                <w:color w:themeColor="text1" w:val="000000"/>
                <w:kern w:val="0"/>
                <w:sz w:val="16"/>
                <w:szCs w:val="16"/>
                <w:lang w:val="pl-PL" w:eastAsia="en-US" w:bidi="ar-SA"/>
              </w:rPr>
              <w:t xml:space="preserve">Data zakończenia budowy domu jednorodzinnego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31.03.2027</w:t>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color w:themeColor="text1" w:val="000000"/>
                <w:sz w:val="16"/>
                <w:szCs w:val="16"/>
                <w:lang w:val="pl-PL"/>
              </w:rPr>
            </w:pPr>
            <w:r>
              <w:rPr>
                <w:rFonts w:eastAsia="MS Mincho" w:cs="Arial" w:ascii="Helvetica" w:hAnsi="Helvetica"/>
                <w:color w:themeColor="text1" w:val="000000"/>
                <w:kern w:val="0"/>
                <w:sz w:val="16"/>
                <w:szCs w:val="16"/>
                <w:lang w:val="pl-PL" w:eastAsia="en-US" w:bidi="ar-SA"/>
              </w:rPr>
              <w:t>Planowany termin rozpoczęcia</w:t>
              <w:br/>
              <w:t xml:space="preserve">i zakończenia robót budowlanych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Rozpoczęcie 01-10-2026</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Zakończenie 30-03-2027</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r>
      <w:tr>
        <w:trPr>
          <w:trHeight w:val="137"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color w:themeColor="text1" w:val="000000"/>
                <w:sz w:val="16"/>
                <w:szCs w:val="16"/>
                <w:lang w:val="pl-PL"/>
              </w:rPr>
            </w:pPr>
            <w:r>
              <w:rPr>
                <w:rFonts w:eastAsia="MS Mincho" w:cs="Arial" w:ascii="Helvetica" w:hAnsi="Helvetica"/>
                <w:color w:themeColor="text1" w:val="000000"/>
                <w:kern w:val="0"/>
                <w:sz w:val="16"/>
                <w:szCs w:val="16"/>
                <w:lang w:val="pl-PL" w:eastAsia="en-US" w:bidi="ar-SA"/>
              </w:rPr>
              <w:t xml:space="preserve">Opis przedsięwzięcia deweloperskiego lub zadania inwestycyjnego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eastAsia="" w:cs="" w:cstheme="minorBidi" w:eastAsiaTheme="minorEastAsia" w:hint="eastAsia"/>
                <w:color w:themeColor="text1" w:val="000000"/>
                <w:sz w:val="16"/>
                <w:szCs w:val="16"/>
              </w:rPr>
            </w:pPr>
            <w:r>
              <w:rPr>
                <w:rFonts w:eastAsia="" w:cs="" w:ascii="Helvetica" w:hAnsi="Helvetica" w:cstheme="minorBidi" w:eastAsiaTheme="minorEastAsia"/>
                <w:color w:themeColor="text1" w:val="000000"/>
                <w:kern w:val="0"/>
                <w:sz w:val="16"/>
                <w:szCs w:val="16"/>
                <w:lang w:bidi="ar-SA"/>
              </w:rPr>
              <w:t>Lista budynków</w:t>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8 budynków mieszkalnych dwulokalowych</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suppressAutoHyphens w:val="true"/>
              <w:spacing w:before="0" w:after="0"/>
              <w:jc w:val="start"/>
              <w:rPr>
                <w:rFonts w:ascii="Helvetica" w:hAnsi="Helvetica"/>
                <w:color w:themeColor="text1" w:val="000000"/>
                <w:sz w:val="16"/>
                <w:szCs w:val="16"/>
              </w:rPr>
            </w:pPr>
            <w:r>
              <w:rPr>
                <w:rFonts w:eastAsia="" w:ascii="Helvetica" w:hAnsi="Helvetica" w:eastAsiaTheme="minorEastAsia"/>
                <w:color w:themeColor="text1" w:val="000000"/>
                <w:kern w:val="0"/>
                <w:sz w:val="16"/>
                <w:szCs w:val="16"/>
                <w:lang w:bidi="ar-SA"/>
              </w:rPr>
              <w:t>Rozmieszczenie budynków</w:t>
              <w:br/>
              <w:t xml:space="preserve">na nieruchomości (należy podać́ minimalny odstęp miedzy budynkami) </w:t>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8m</w:t>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color w:themeColor="text1" w:val="000000"/>
                <w:kern w:val="0"/>
                <w:sz w:val="16"/>
                <w:szCs w:val="16"/>
                <w:lang w:val="pl-PL" w:eastAsia="en-US" w:bidi="ar-SA"/>
              </w:rPr>
              <w:t xml:space="preserve">Sposób pomiaru powierzchni użytkowej lokalu mieszkalnego albo domu jednorodzinnego  </w:t>
            </w:r>
          </w:p>
        </w:tc>
        <w:tc>
          <w:tcPr>
            <w:tcW w:w="5945" w:type="dxa"/>
            <w:gridSpan w:val="2"/>
            <w:tcBorders/>
          </w:tcPr>
          <w:p>
            <w:pPr>
              <w:pStyle w:val="p1"/>
              <w:widowControl/>
              <w:suppressAutoHyphens w:val="true"/>
              <w:spacing w:before="0" w:after="0"/>
              <w:jc w:val="start"/>
              <w:rPr>
                <w:sz w:val="13"/>
                <w:szCs w:val="13"/>
              </w:rPr>
            </w:pPr>
            <w:r>
              <w:rPr>
                <w:rStyle w:val="s1"/>
                <w:kern w:val="0"/>
                <w:sz w:val="13"/>
                <w:szCs w:val="13"/>
                <w:lang w:bidi="ar-SA"/>
              </w:rPr>
              <w:t xml:space="preserve">Pomiar </w:t>
            </w:r>
            <w:r>
              <w:rPr>
                <w:kern w:val="0"/>
                <w:sz w:val="13"/>
                <w:szCs w:val="13"/>
                <w:lang w:bidi="ar-SA"/>
              </w:rPr>
              <w:t>Powierzchni Użytkowej Lokalu</w:t>
            </w:r>
            <w:r>
              <w:rPr>
                <w:rStyle w:val="s1"/>
                <w:kern w:val="0"/>
                <w:sz w:val="13"/>
                <w:szCs w:val="13"/>
                <w:lang w:bidi="ar-SA"/>
              </w:rPr>
              <w:t xml:space="preserve"> </w:t>
            </w:r>
            <w:r>
              <w:rPr>
                <w:kern w:val="0"/>
                <w:sz w:val="13"/>
                <w:szCs w:val="13"/>
                <w:lang w:bidi="ar-SA"/>
              </w:rPr>
              <w:t>dokonywany będzie według Polskiej Normy PN</w:t>
            </w:r>
            <w:r>
              <w:rPr>
                <w:rStyle w:val="s1"/>
                <w:kern w:val="0"/>
                <w:sz w:val="13"/>
                <w:szCs w:val="13"/>
                <w:lang w:bidi="ar-SA"/>
              </w:rPr>
              <w:t>-ISO</w:t>
            </w:r>
          </w:p>
          <w:p>
            <w:pPr>
              <w:pStyle w:val="p1"/>
              <w:widowControl/>
              <w:suppressAutoHyphens w:val="true"/>
              <w:spacing w:before="0" w:after="0"/>
              <w:jc w:val="start"/>
              <w:rPr>
                <w:sz w:val="13"/>
                <w:szCs w:val="13"/>
              </w:rPr>
            </w:pPr>
            <w:r>
              <w:rPr>
                <w:rStyle w:val="s1"/>
                <w:kern w:val="0"/>
                <w:sz w:val="13"/>
                <w:szCs w:val="13"/>
                <w:lang w:bidi="ar-SA"/>
              </w:rPr>
              <w:t>9836:2022-</w:t>
            </w:r>
            <w:r>
              <w:rPr>
                <w:kern w:val="0"/>
                <w:sz w:val="13"/>
                <w:szCs w:val="13"/>
                <w:lang w:bidi="ar-SA"/>
              </w:rPr>
              <w:t>07 z uwzględnieniem treści Rozporządzenia Ministra Rozwoju z dnia 11 września 2020</w:t>
            </w:r>
          </w:p>
          <w:p>
            <w:pPr>
              <w:pStyle w:val="p2"/>
              <w:widowControl/>
              <w:suppressAutoHyphens w:val="true"/>
              <w:spacing w:before="0" w:after="0"/>
              <w:jc w:val="start"/>
              <w:rPr>
                <w:sz w:val="13"/>
                <w:szCs w:val="13"/>
              </w:rPr>
            </w:pPr>
            <w:r>
              <w:rPr>
                <w:rStyle w:val="s2"/>
                <w:kern w:val="0"/>
                <w:sz w:val="13"/>
                <w:szCs w:val="13"/>
                <w:lang w:bidi="ar-SA"/>
              </w:rPr>
              <w:t>r. w sprawie szczegółowe</w:t>
            </w:r>
            <w:r>
              <w:rPr>
                <w:kern w:val="0"/>
                <w:sz w:val="13"/>
                <w:szCs w:val="13"/>
                <w:lang w:bidi="ar-SA"/>
              </w:rPr>
              <w:t>go zakresu i formy projektu budowlanego.</w:t>
            </w:r>
          </w:p>
          <w:p>
            <w:pPr>
              <w:pStyle w:val="p1"/>
              <w:widowControl/>
              <w:suppressAutoHyphens w:val="true"/>
              <w:spacing w:before="0" w:after="0"/>
              <w:jc w:val="start"/>
              <w:rPr>
                <w:sz w:val="13"/>
                <w:szCs w:val="13"/>
              </w:rPr>
            </w:pPr>
            <w:r>
              <w:rPr>
                <w:kern w:val="0"/>
                <w:sz w:val="13"/>
                <w:szCs w:val="13"/>
                <w:lang w:bidi="ar-SA"/>
              </w:rPr>
              <w:t>Pomiaru dokonuje się na poziomie podłogi z dokładnością do 0,01 m</w:t>
            </w:r>
            <w:r>
              <w:rPr>
                <w:rStyle w:val="s3"/>
                <w:rFonts w:eastAsia="" w:eastAsiaTheme="majorEastAsia"/>
                <w:kern w:val="0"/>
                <w:sz w:val="13"/>
                <w:szCs w:val="13"/>
                <w:lang w:bidi="ar-SA"/>
              </w:rPr>
              <w:t>2</w:t>
            </w:r>
            <w:r>
              <w:rPr>
                <w:kern w:val="0"/>
                <w:sz w:val="13"/>
                <w:szCs w:val="13"/>
                <w:lang w:bidi="ar-SA"/>
              </w:rPr>
              <w:t>, gdy ściany znajdują się w</w:t>
            </w:r>
          </w:p>
          <w:p>
            <w:pPr>
              <w:pStyle w:val="p1"/>
              <w:widowControl/>
              <w:suppressAutoHyphens w:val="true"/>
              <w:spacing w:before="0" w:after="0"/>
              <w:jc w:val="start"/>
              <w:rPr>
                <w:sz w:val="13"/>
                <w:szCs w:val="13"/>
              </w:rPr>
            </w:pPr>
            <w:r>
              <w:rPr>
                <w:kern w:val="0"/>
                <w:sz w:val="13"/>
                <w:szCs w:val="13"/>
                <w:lang w:bidi="ar-SA"/>
              </w:rPr>
              <w:t>stanie wykończonym (po położeniu tynków).</w:t>
            </w:r>
          </w:p>
          <w:p>
            <w:pPr>
              <w:pStyle w:val="p1"/>
              <w:widowControl/>
              <w:suppressAutoHyphens w:val="true"/>
              <w:spacing w:before="0" w:after="0"/>
              <w:jc w:val="start"/>
              <w:rPr>
                <w:sz w:val="13"/>
                <w:szCs w:val="13"/>
              </w:rPr>
            </w:pPr>
            <w:r>
              <w:rPr>
                <w:kern w:val="0"/>
                <w:sz w:val="13"/>
                <w:szCs w:val="13"/>
                <w:lang w:bidi="ar-SA"/>
              </w:rPr>
              <w:t>Powierzchnię pomieszczeń lub ich części o wysokości w świetle równej lub większ</w:t>
            </w:r>
            <w:r>
              <w:rPr>
                <w:rStyle w:val="s1"/>
                <w:kern w:val="0"/>
                <w:sz w:val="13"/>
                <w:szCs w:val="13"/>
                <w:lang w:bidi="ar-SA"/>
              </w:rPr>
              <w:t>ej od 2,20 m</w:t>
            </w:r>
          </w:p>
          <w:p>
            <w:pPr>
              <w:pStyle w:val="p1"/>
              <w:widowControl/>
              <w:suppressAutoHyphens w:val="true"/>
              <w:spacing w:before="0" w:after="0"/>
              <w:jc w:val="start"/>
              <w:rPr>
                <w:sz w:val="13"/>
                <w:szCs w:val="13"/>
              </w:rPr>
            </w:pPr>
            <w:r>
              <w:rPr>
                <w:kern w:val="0"/>
                <w:sz w:val="13"/>
                <w:szCs w:val="13"/>
                <w:lang w:bidi="ar-SA"/>
              </w:rPr>
              <w:t>należy zaliczać do obliczeń w 100%, o wysokości równej lub większej od 1,40 m, lecz mniejszej od</w:t>
            </w:r>
          </w:p>
          <w:p>
            <w:pPr>
              <w:pStyle w:val="p1"/>
              <w:widowControl/>
              <w:suppressAutoHyphens w:val="true"/>
              <w:spacing w:before="0" w:after="0"/>
              <w:jc w:val="start"/>
              <w:rPr>
                <w:sz w:val="13"/>
                <w:szCs w:val="13"/>
              </w:rPr>
            </w:pPr>
            <w:r>
              <w:rPr>
                <w:rStyle w:val="s1"/>
                <w:kern w:val="0"/>
                <w:sz w:val="13"/>
                <w:szCs w:val="13"/>
                <w:lang w:bidi="ar-SA"/>
              </w:rPr>
              <w:t xml:space="preserve">2,20 m </w:t>
            </w:r>
            <w:r>
              <w:rPr>
                <w:kern w:val="0"/>
                <w:sz w:val="13"/>
                <w:szCs w:val="13"/>
                <w:lang w:bidi="ar-SA"/>
              </w:rPr>
              <w:t>–</w:t>
            </w:r>
            <w:r>
              <w:rPr>
                <w:rStyle w:val="s1"/>
                <w:kern w:val="0"/>
                <w:sz w:val="13"/>
                <w:szCs w:val="13"/>
                <w:lang w:bidi="ar-SA"/>
              </w:rPr>
              <w:t xml:space="preserve"> </w:t>
            </w:r>
            <w:r>
              <w:rPr>
                <w:kern w:val="0"/>
                <w:sz w:val="13"/>
                <w:szCs w:val="13"/>
                <w:lang w:bidi="ar-SA"/>
              </w:rPr>
              <w:t>w 50%, natomiast o wysokości mniejszej od 1,40 m pomija się całkowicie.</w:t>
            </w:r>
          </w:p>
          <w:p>
            <w:pPr>
              <w:pStyle w:val="p1"/>
              <w:widowControl/>
              <w:suppressAutoHyphens w:val="true"/>
              <w:spacing w:before="0" w:after="0"/>
              <w:jc w:val="start"/>
              <w:rPr>
                <w:sz w:val="13"/>
                <w:szCs w:val="13"/>
              </w:rPr>
            </w:pPr>
            <w:r>
              <w:rPr>
                <w:kern w:val="0"/>
                <w:sz w:val="13"/>
                <w:szCs w:val="13"/>
                <w:lang w:bidi="ar-SA"/>
              </w:rPr>
              <w:t>Łączna Powierzchnia Lokalu</w:t>
            </w:r>
            <w:r>
              <w:rPr>
                <w:rStyle w:val="s1"/>
                <w:kern w:val="0"/>
                <w:sz w:val="13"/>
                <w:szCs w:val="13"/>
                <w:lang w:bidi="ar-SA"/>
              </w:rPr>
              <w:t xml:space="preserve"> </w:t>
            </w:r>
            <w:r>
              <w:rPr>
                <w:kern w:val="0"/>
                <w:sz w:val="13"/>
                <w:szCs w:val="13"/>
                <w:lang w:bidi="ar-SA"/>
              </w:rPr>
              <w:t>uwzględnia powierzchnię przekroju pozi</w:t>
            </w:r>
            <w:r>
              <w:rPr>
                <w:rStyle w:val="s1"/>
                <w:kern w:val="0"/>
                <w:sz w:val="13"/>
                <w:szCs w:val="13"/>
                <w:lang w:bidi="ar-SA"/>
              </w:rPr>
              <w:t>omego wszystkich</w:t>
            </w:r>
          </w:p>
          <w:p>
            <w:pPr>
              <w:pStyle w:val="p1"/>
              <w:widowControl/>
              <w:suppressAutoHyphens w:val="true"/>
              <w:spacing w:before="0" w:after="0"/>
              <w:jc w:val="start"/>
              <w:rPr>
                <w:sz w:val="13"/>
                <w:szCs w:val="13"/>
              </w:rPr>
            </w:pPr>
            <w:r>
              <w:rPr>
                <w:kern w:val="0"/>
                <w:sz w:val="13"/>
                <w:szCs w:val="13"/>
                <w:lang w:bidi="ar-SA"/>
              </w:rPr>
              <w:t>wewnętrznych przegród, przejść i otworów w tych przegrodach oraz schodów wewnętrznych i</w:t>
            </w:r>
          </w:p>
          <w:p>
            <w:pPr>
              <w:pStyle w:val="p2"/>
              <w:widowControl/>
              <w:suppressAutoHyphens w:val="true"/>
              <w:spacing w:before="0" w:after="0"/>
              <w:jc w:val="start"/>
              <w:rPr>
                <w:sz w:val="16"/>
                <w:szCs w:val="16"/>
              </w:rPr>
            </w:pPr>
            <w:r>
              <w:rPr>
                <w:kern w:val="0"/>
                <w:sz w:val="13"/>
                <w:szCs w:val="13"/>
                <w:lang w:bidi="ar-SA"/>
              </w:rPr>
              <w:t>podestów.</w:t>
            </w:r>
          </w:p>
        </w:tc>
      </w:tr>
      <w:tr>
        <w:trPr>
          <w:trHeight w:val="137"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color w:themeColor="text1" w:val="000000"/>
                <w:sz w:val="16"/>
                <w:szCs w:val="16"/>
                <w:lang w:val="pl-PL"/>
              </w:rPr>
            </w:pPr>
            <w:r>
              <w:rPr>
                <w:rFonts w:eastAsia="MS Mincho" w:cs="Arial" w:ascii="Helvetica" w:hAnsi="Helvetica"/>
                <w:color w:themeColor="text1" w:val="000000"/>
                <w:kern w:val="0"/>
                <w:sz w:val="16"/>
                <w:szCs w:val="16"/>
                <w:lang w:val="pl-PL" w:eastAsia="en-US" w:bidi="ar-SA"/>
              </w:rPr>
              <w:t xml:space="preserve">Zamierzony sposób i procentowy udział źródeł finansowania przedsięwzięcia deweloperskiego lub zadania inwestycyjnego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suppressAutoHyphens w:val="true"/>
              <w:spacing w:before="0" w:after="280"/>
              <w:jc w:val="start"/>
              <w:rPr>
                <w:rFonts w:ascii="Helvetica" w:hAnsi="Helvetica"/>
                <w:color w:themeColor="text1" w:val="000000"/>
                <w:sz w:val="16"/>
                <w:szCs w:val="16"/>
              </w:rPr>
            </w:pPr>
            <w:r>
              <w:rPr>
                <w:rFonts w:eastAsia="" w:ascii="Helvetica" w:hAnsi="Helvetica" w:eastAsiaTheme="minorEastAsia"/>
                <w:color w:themeColor="text1" w:val="000000"/>
                <w:kern w:val="0"/>
                <w:sz w:val="16"/>
                <w:szCs w:val="16"/>
                <w:lang w:bidi="ar-SA"/>
              </w:rPr>
              <w:t xml:space="preserve">Rodzaj posiadanych środków finansowych – kredyt, środki własne, inne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eastAsia="" w:cs="" w:cstheme="minorBidi" w:eastAsiaTheme="minorEastAsia" w:hint="eastAsia"/>
                <w:color w:themeColor="text1" w:val="000000"/>
                <w:sz w:val="16"/>
                <w:szCs w:val="16"/>
              </w:rPr>
            </w:pPr>
            <w:r>
              <w:rPr>
                <w:rFonts w:eastAsia="" w:cs="" w:cstheme="minorBidi" w:eastAsiaTheme="minorEastAsia" w:hint="eastAsia" w:ascii="Helvetica" w:hAnsi="Helvetica"/>
                <w:color w:themeColor="text1" w:val="000000"/>
                <w:kern w:val="0"/>
                <w:sz w:val="16"/>
                <w:szCs w:val="16"/>
                <w:lang w:bidi="ar-SA"/>
              </w:rPr>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Środki Własne </w:t>
            </w:r>
          </w:p>
        </w:tc>
      </w:tr>
      <w:tr>
        <w:trPr>
          <w:trHeight w:val="137" w:hRule="atLeast"/>
        </w:trPr>
        <w:tc>
          <w:tcPr>
            <w:tcW w:w="2969" w:type="dxa"/>
            <w:vMerge w:val="continue"/>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2973" w:type="dxa"/>
            <w:tcBorders/>
          </w:tcPr>
          <w:p>
            <w:pPr>
              <w:pStyle w:val="NormalWeb"/>
              <w:widowControl/>
              <w:suppressAutoHyphens w:val="true"/>
              <w:spacing w:before="0" w:after="280"/>
              <w:jc w:val="start"/>
              <w:rPr>
                <w:rFonts w:ascii="Helvetica" w:hAnsi="Helvetica"/>
                <w:color w:themeColor="text1" w:val="000000"/>
                <w:sz w:val="16"/>
                <w:szCs w:val="16"/>
              </w:rPr>
            </w:pPr>
            <w:r>
              <w:rPr>
                <w:rFonts w:eastAsia="" w:ascii="Helvetica" w:hAnsi="Helvetica" w:eastAsiaTheme="minorEastAsia"/>
                <w:color w:themeColor="text1" w:val="000000"/>
                <w:kern w:val="0"/>
                <w:sz w:val="16"/>
                <w:szCs w:val="16"/>
                <w:lang w:bidi="ar-SA"/>
              </w:rPr>
              <w:t>W następujących instytucjach finansowych (wypełnia się̨</w:t>
              <w:br/>
              <w:t xml:space="preserve">w przypadku kredytu)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eastAsia="" w:cs="" w:cstheme="minorBidi" w:eastAsiaTheme="minorEastAsia" w:hint="eastAsia"/>
                <w:color w:themeColor="text1" w:val="000000"/>
                <w:sz w:val="16"/>
                <w:szCs w:val="16"/>
              </w:rPr>
            </w:pPr>
            <w:r>
              <w:rPr>
                <w:rFonts w:eastAsia="" w:cs="" w:cstheme="minorBidi" w:eastAsiaTheme="minorEastAsia" w:hint="eastAsia" w:ascii="Helvetica" w:hAnsi="Helvetica"/>
                <w:color w:themeColor="text1" w:val="000000"/>
                <w:kern w:val="0"/>
                <w:sz w:val="16"/>
                <w:szCs w:val="16"/>
                <w:lang w:bidi="ar-SA"/>
              </w:rPr>
            </w:r>
          </w:p>
        </w:tc>
        <w:tc>
          <w:tcPr>
            <w:tcW w:w="2972" w:type="dxa"/>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 DOTYCZY</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r>
      <w:tr>
        <w:trPr>
          <w:trHeight w:val="137" w:hRule="atLeast"/>
        </w:trPr>
        <w:tc>
          <w:tcPr>
            <w:tcW w:w="2969"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Środki ochrony nabywców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p1"/>
              <w:widowControl/>
              <w:suppressAutoHyphens w:val="true"/>
              <w:spacing w:before="0" w:after="0"/>
              <w:jc w:val="start"/>
              <w:rPr>
                <w:kern w:val="0"/>
                <w:lang w:bidi="ar-SA"/>
              </w:rPr>
            </w:pPr>
            <w:r>
              <w:rPr>
                <w:kern w:val="0"/>
                <w:lang w:bidi="ar-SA"/>
              </w:rPr>
              <w:t>Otwarty mieszkaniowy rachunek powierniczy</w:t>
            </w:r>
          </w:p>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r>
      <w:tr>
        <w:trPr>
          <w:trHeight w:val="137" w:hRule="atLeast"/>
        </w:trPr>
        <w:tc>
          <w:tcPr>
            <w:tcW w:w="2969" w:type="dxa"/>
            <w:vMerge w:val="continue"/>
            <w:tcBorders/>
            <w:shd w:color="auto" w:fill="DBE5F1" w:themeFill="accent1" w:themeFillTint="33" w:val="clear"/>
          </w:tcPr>
          <w:p>
            <w:pPr>
              <w:pStyle w:val="p2"/>
              <w:widowControl/>
              <w:suppressAutoHyphens w:val="true"/>
              <w:spacing w:before="0" w:after="0"/>
              <w:jc w:val="start"/>
              <w:rPr>
                <w:sz w:val="16"/>
                <w:szCs w:val="16"/>
              </w:rPr>
            </w:pPr>
            <w:r>
              <w:rPr>
                <w:kern w:val="0"/>
                <w:sz w:val="16"/>
                <w:szCs w:val="16"/>
                <w:lang w:bidi="ar-SA"/>
              </w:rPr>
            </w:r>
          </w:p>
        </w:tc>
        <w:tc>
          <w:tcPr>
            <w:tcW w:w="2973" w:type="dxa"/>
            <w:tcBorders/>
          </w:tcPr>
          <w:p>
            <w:pPr>
              <w:pStyle w:val="p1"/>
              <w:widowControl/>
              <w:suppressAutoHyphens w:val="true"/>
              <w:spacing w:before="0" w:after="0"/>
              <w:jc w:val="start"/>
              <w:rPr>
                <w:kern w:val="0"/>
                <w:lang w:bidi="ar-SA"/>
              </w:rPr>
            </w:pPr>
            <w:r>
              <w:rPr>
                <w:kern w:val="0"/>
                <w:lang w:bidi="ar-SA"/>
              </w:rPr>
              <w:t>Wysokość stawki procentowej, według</w:t>
            </w:r>
          </w:p>
          <w:p>
            <w:pPr>
              <w:pStyle w:val="p1"/>
              <w:widowControl/>
              <w:suppressAutoHyphens w:val="true"/>
              <w:spacing w:before="0" w:after="0"/>
              <w:jc w:val="start"/>
              <w:rPr>
                <w:kern w:val="0"/>
                <w:lang w:bidi="ar-SA"/>
              </w:rPr>
            </w:pPr>
            <w:r>
              <w:rPr>
                <w:kern w:val="0"/>
                <w:lang w:bidi="ar-SA"/>
              </w:rPr>
              <w:t>której jest obliczana kwota składki na</w:t>
            </w:r>
          </w:p>
          <w:p>
            <w:pPr>
              <w:pStyle w:val="p2"/>
              <w:widowControl/>
              <w:suppressAutoHyphens w:val="true"/>
              <w:spacing w:before="0" w:after="0"/>
              <w:jc w:val="start"/>
              <w:rPr>
                <w:kern w:val="0"/>
                <w:lang w:bidi="ar-SA"/>
              </w:rPr>
            </w:pPr>
            <w:r>
              <w:rPr>
                <w:kern w:val="0"/>
                <w:lang w:bidi="ar-SA"/>
              </w:rPr>
              <w:t>Deweloperski Fundusz Gwarancyjny</w:t>
            </w:r>
            <w:r>
              <w:rPr>
                <w:rStyle w:val="apple-converted-space"/>
                <w:kern w:val="0"/>
                <w:lang w:bidi="ar-SA"/>
              </w:rPr>
              <w:t>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eastAsia="" w:cs="" w:cstheme="minorBidi" w:eastAsiaTheme="minorEastAsia" w:hint="eastAsia"/>
                <w:color w:themeColor="text1" w:val="000000"/>
                <w:sz w:val="16"/>
                <w:szCs w:val="16"/>
              </w:rPr>
            </w:pPr>
            <w:r>
              <w:rPr>
                <w:rFonts w:eastAsia="" w:cs="" w:cstheme="minorBidi" w:eastAsiaTheme="minorEastAsia" w:hint="eastAsia" w:ascii="Helvetica" w:hAnsi="Helvetica"/>
                <w:color w:themeColor="text1" w:val="000000"/>
                <w:kern w:val="0"/>
                <w:sz w:val="16"/>
                <w:szCs w:val="16"/>
                <w:lang w:bidi="ar-SA"/>
              </w:rPr>
            </w:r>
          </w:p>
        </w:tc>
        <w:tc>
          <w:tcPr>
            <w:tcW w:w="2972" w:type="dxa"/>
            <w:tcBorders/>
          </w:tcPr>
          <w:p>
            <w:pPr>
              <w:pStyle w:val="p1"/>
              <w:widowControl/>
              <w:suppressAutoHyphens w:val="true"/>
              <w:spacing w:before="0" w:after="0"/>
              <w:jc w:val="start"/>
              <w:rPr>
                <w:kern w:val="0"/>
                <w:lang w:bidi="ar-SA"/>
              </w:rPr>
            </w:pPr>
            <w:r>
              <w:rPr>
                <w:kern w:val="0"/>
                <w:lang w:bidi="ar-SA"/>
              </w:rPr>
              <w:t>0,45%</w:t>
            </w:r>
          </w:p>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r>
      <w:tr>
        <w:trPr>
          <w:trHeight w:val="137" w:hRule="atLeast"/>
        </w:trPr>
        <w:tc>
          <w:tcPr>
            <w:tcW w:w="2969" w:type="dxa"/>
            <w:tcBorders/>
            <w:shd w:color="auto" w:fill="DBE5F1" w:themeFill="accent1" w:themeFillTint="33" w:val="clear"/>
          </w:tcPr>
          <w:p>
            <w:pPr>
              <w:pStyle w:val="p1"/>
              <w:widowControl/>
              <w:suppressAutoHyphens w:val="true"/>
              <w:spacing w:before="0" w:after="0"/>
              <w:jc w:val="start"/>
              <w:rPr>
                <w:sz w:val="16"/>
                <w:szCs w:val="16"/>
              </w:rPr>
            </w:pPr>
            <w:r>
              <w:rPr>
                <w:kern w:val="0"/>
                <w:sz w:val="16"/>
                <w:szCs w:val="16"/>
                <w:lang w:bidi="ar-SA"/>
              </w:rPr>
              <w:t>Główne zasady funkcjonowania wybranego</w:t>
            </w:r>
          </w:p>
          <w:p>
            <w:pPr>
              <w:pStyle w:val="p2"/>
              <w:widowControl/>
              <w:suppressAutoHyphens w:val="true"/>
              <w:spacing w:before="0" w:after="0"/>
              <w:jc w:val="start"/>
              <w:rPr>
                <w:sz w:val="16"/>
                <w:szCs w:val="16"/>
              </w:rPr>
            </w:pPr>
            <w:r>
              <w:rPr>
                <w:kern w:val="0"/>
                <w:sz w:val="16"/>
                <w:szCs w:val="16"/>
                <w:lang w:bidi="ar-SA"/>
              </w:rPr>
              <w:t xml:space="preserve">rodzaju zabezpieczenia </w:t>
            </w:r>
            <w:r>
              <w:rPr>
                <w:rStyle w:val="s1"/>
                <w:kern w:val="0"/>
                <w:sz w:val="16"/>
                <w:szCs w:val="16"/>
                <w:lang w:bidi="ar-SA"/>
              </w:rPr>
              <w:t>środków nabywcy</w:t>
            </w:r>
          </w:p>
        </w:tc>
        <w:tc>
          <w:tcPr>
            <w:tcW w:w="5945" w:type="dxa"/>
            <w:gridSpan w:val="2"/>
            <w:tcBorders/>
          </w:tcPr>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r>
              <w:rPr>
                <w:rFonts w:eastAsia="MS Mincho" w:cs="Arial" w:ascii="Helvetica" w:hAnsi="Helvetica"/>
                <w:kern w:val="0"/>
                <w:sz w:val="13"/>
                <w:szCs w:val="13"/>
                <w:lang w:val="pl-PL" w:eastAsia="en-US" w:bidi="ar-SA"/>
              </w:rPr>
              <w:t>Stawający w imieniu Dewelopera oświadcza, że Deweloper zawarł  z Bankiem Polskiej Spółdzielczości Spółką Akcyjną z siedzibą w Warszawie, KRS 0000069229</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w:t>
            </w:r>
            <w:r>
              <w:rPr>
                <w:rFonts w:eastAsia="MS Mincho" w:cs="Arial" w:ascii="Helvetica" w:hAnsi="Helvetica"/>
                <w:b/>
                <w:bCs/>
                <w:kern w:val="0"/>
                <w:sz w:val="13"/>
                <w:szCs w:val="13"/>
                <w:lang w:val="pl-PL" w:eastAsia="en-US" w:bidi="ar-SA"/>
              </w:rPr>
              <w:t>Bank</w:t>
            </w:r>
            <w:r>
              <w:rPr>
                <w:rFonts w:eastAsia="MS Mincho" w:cs="Arial" w:ascii="Helvetica" w:hAnsi="Helvetica"/>
                <w:kern w:val="0"/>
                <w:sz w:val="13"/>
                <w:szCs w:val="13"/>
                <w:lang w:val="pl-PL" w:eastAsia="en-US" w:bidi="ar-SA"/>
              </w:rPr>
              <w:t>”) (okazaną przy niniejszym akcie) umowę o prowadzenie otwartego mieszkaniowego</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rachunku powierniczego, na podstawie której dla Zadania Inwestycyjnego Bank ten prowadzi</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otwarty mieszkaniowy rachunek powierniczy w walucie polskiej numer</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Ponadto zgodnie z wyżej opisaną umową:1) w związku z realizacją przez Dewelopera Umowy Deweloperskiej Bank wypłaca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Deweloperowi środki pieniężne wpłacone przez Nabywców na otwarty mieszkaniowy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rachunek powierniczy, nie wcześniej niż po 30 (trzydziestu) dniach od dnia zawarcia Umowy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Deweloperskiej i po stwierdzeniu zakończenia danego etapu Zadania Inwestycyjnego, w</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wysokości kwoty stanowiącej iloczyn procentu kosztów danego etapu określonego w</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Harmonogramie Zadania Inwestycyjnego oraz ceny Lokalu,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2) w przypadku zakończenia ostatniego etapu Zadania Inwestycyjnego, określonego w</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Harmonogramie Zadania Inwestycyjnego, Bank wypłaca Deweloperowi pozostałe na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otwartym mieszkaniowym rachunku powierniczym środki pieniężne wpłacone przez</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Nabywców na poczet realizacji ostatniego etapu prac po otrzymaniu wypisu aktu notarialnego</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umowy przenoszącej na Nabywców prawa wynikające z Umowy Deweloperskiej, w stanie</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wolnym od obciążeń, praw i roszczeń osób trzecich, z wyjątkiem obciążeń, na które wyrazili</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zgodę Nabywcy,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3) Bank dokonuje kontroli zakończenia każdego z etapów Zadania Inwestycyjnego przed wypłatą</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środków pieniężnych, o których mowa w pkt 1) powyżej,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4) w trakcie kontroli Bank ma prawo wglądu do rachunków bankowych Dewelopera oraz kontroli</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dokumentacji w zakresie dotyczącym Zadania Inwestycyjnego,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5) w przypadku odstąpienia na podstawie art. 43 od Umowy Deweloperskiej przez jedną ze Stron,</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Bank wypłaca Nabywcom przypadające im środki pieniężne pozostałe na mieszkaniowym</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rachunku powierniczym w nominalnej wysokości niezwłocznie po otrzymaniu oświadczenia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o odstąpieniu od Umowy Deweloperskiej,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6) w przypadku rozwiązania Umowy Deweloperskiej innego niż na podstawie art. 43, Strony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przedstawią zgodne oświadczenia woli o sposobie podziału środków pieniężnych</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zgromadzonych przez Nabywców na mieszkaniowym rachunku powierniczym,</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7) Bank wypłaca środki zgromadzone na mieszkaniowym rachunku powierniczym w nominalnej</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wysokości niezwłocznie po otrzymaniu oświadczeń, o których mowa pkt 6) powyżej,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8) koszty, opłaty i prowizje za prowadzenie mieszkaniowego rachunku powierniczego obciążają</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Dewelopera,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9) środki na otwartym mieszkaniowym rachunku powierniczym objęte są polskim systemem</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gwarantowania przez Bankowy Fundusz Gwarancyjny, powołany ustawą z dnia 10 czerwca- 12 -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2016 r. o Bankowym Funduszu Gwarancyjnym, systemie gwarantowanych depozytów oraz</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przymusowej restrukturyzacji. Koszty OMPR ponosi Deweloper </w:t>
            </w:r>
          </w:p>
          <w:p>
            <w:pPr>
              <w:pStyle w:val="Normal"/>
              <w:widowControl/>
              <w:suppressAutoHyphens w:val="true"/>
              <w:spacing w:lineRule="auto" w:line="240" w:before="0" w:after="0"/>
              <w:jc w:val="start"/>
              <w:rPr>
                <w:rFonts w:ascii="Helvetica" w:hAnsi="Helvetica" w:hint="eastAsia"/>
                <w:sz w:val="13"/>
                <w:szCs w:val="13"/>
                <w:lang w:val="pl-PL"/>
              </w:rPr>
            </w:pPr>
            <w:r>
              <w:rPr>
                <w:rFonts w:eastAsia="" w:cs="" w:hint="eastAsia" w:ascii="Helvetica" w:hAnsi="Helvetica"/>
                <w:kern w:val="0"/>
                <w:sz w:val="13"/>
                <w:szCs w:val="13"/>
                <w:lang w:val="pl-PL" w:eastAsia="en-US" w:bidi="ar-SA"/>
              </w:rPr>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Nazwa instytucji zapewniającej bezpieczeństwo środków nabywcy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Bank BPS</w:t>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Harmonogram przedsięwzięcia deweloperskiego lub zadania inwestycyjnego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 xml:space="preserve">Według załącznika nr 4 </w:t>
            </w:r>
          </w:p>
        </w:tc>
      </w:tr>
      <w:tr>
        <w:trPr>
          <w:trHeight w:val="137" w:hRule="atLeast"/>
        </w:trPr>
        <w:tc>
          <w:tcPr>
            <w:tcW w:w="2969"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Dopuszczenie waloryzacji ceny oraz określenie zasad waloryzacji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Waloryzacja nie jest dopuszczalna </w:t>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Cena Netto jest ceną stałą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r>
      <w:tr>
        <w:trPr>
          <w:trHeight w:val="137" w:hRule="atLeast"/>
        </w:trPr>
        <w:tc>
          <w:tcPr>
            <w:tcW w:w="8914" w:type="dxa"/>
            <w:gridSpan w:val="3"/>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WARUNKI ODSTĄPIENIA OD UMOWY DEWELOPERSKIEJ LUB UMOWY, O KTÓREJ MOWA W ART. 2 UST. 1 PKT 2, 3 LUB 5 USTAWY</w:t>
            </w:r>
          </w:p>
          <w:p>
            <w:pPr>
              <w:pStyle w:val="p1"/>
              <w:widowControl/>
              <w:suppressAutoHyphens w:val="true"/>
              <w:spacing w:before="0" w:after="0"/>
              <w:jc w:val="center"/>
              <w:rPr>
                <w:b/>
                <w:bCs/>
                <w:sz w:val="16"/>
                <w:szCs w:val="16"/>
              </w:rPr>
            </w:pPr>
            <w:r>
              <w:rPr>
                <w:b/>
                <w:bCs/>
                <w:kern w:val="0"/>
                <w:sz w:val="16"/>
                <w:szCs w:val="16"/>
                <w:lang w:bidi="ar-SA"/>
              </w:rPr>
              <w:t>Z DNIA 20 MAJA 2021 r. O OCHRONIE PRAW NABYWCY LOKALU MIESZKALNEGO LUB DOMU JEDNORODZINNEGO ORAZ</w:t>
            </w:r>
          </w:p>
          <w:p>
            <w:pPr>
              <w:pStyle w:val="p1"/>
              <w:widowControl/>
              <w:suppressAutoHyphens w:val="true"/>
              <w:spacing w:before="0" w:after="0"/>
              <w:jc w:val="center"/>
              <w:rPr>
                <w:b/>
                <w:bCs/>
                <w:sz w:val="16"/>
                <w:szCs w:val="16"/>
              </w:rPr>
            </w:pPr>
            <w:r>
              <w:rPr>
                <w:b/>
                <w:bCs/>
                <w:kern w:val="0"/>
                <w:sz w:val="16"/>
                <w:szCs w:val="16"/>
                <w:lang w:bidi="ar-SA"/>
              </w:rPr>
              <w:t>DEWELOPERSKIM FUNDUSZU GWARANCYJNYM</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r>
      <w:tr>
        <w:trPr>
          <w:trHeight w:val="137" w:hRule="atLeast"/>
        </w:trPr>
        <w:tc>
          <w:tcPr>
            <w:tcW w:w="2969" w:type="dxa"/>
            <w:tcBorders/>
            <w:shd w:color="auto" w:fill="DBE5F1" w:themeFill="accent1" w:themeFillTint="33" w:val="clear"/>
          </w:tcPr>
          <w:p>
            <w:pPr>
              <w:pStyle w:val="p1"/>
              <w:widowControl/>
              <w:suppressAutoHyphens w:val="true"/>
              <w:spacing w:before="0" w:after="0"/>
              <w:jc w:val="start"/>
              <w:rPr>
                <w:sz w:val="13"/>
                <w:szCs w:val="13"/>
              </w:rPr>
            </w:pPr>
            <w:r>
              <w:rPr>
                <w:kern w:val="0"/>
                <w:sz w:val="13"/>
                <w:szCs w:val="13"/>
                <w:lang w:bidi="ar-SA"/>
              </w:rPr>
            </w:r>
          </w:p>
          <w:p>
            <w:pPr>
              <w:pStyle w:val="p1"/>
              <w:widowControl/>
              <w:suppressAutoHyphens w:val="true"/>
              <w:spacing w:before="0" w:after="0"/>
              <w:jc w:val="start"/>
              <w:rPr>
                <w:sz w:val="13"/>
                <w:szCs w:val="13"/>
              </w:rPr>
            </w:pPr>
            <w:r>
              <w:rPr>
                <w:kern w:val="0"/>
                <w:sz w:val="13"/>
                <w:szCs w:val="13"/>
                <w:lang w:bidi="ar-SA"/>
              </w:rPr>
              <w:t>WARUNKI ODSTĄPIENIA OD UMOWY DEWELOPERSKIEJ LUB UMOWY, O KTÓREJ MOWA W ART. 2 UST. 1 PKT 2, 3 LUB 5 USTAWY</w:t>
            </w:r>
          </w:p>
          <w:p>
            <w:pPr>
              <w:pStyle w:val="p1"/>
              <w:widowControl/>
              <w:suppressAutoHyphens w:val="true"/>
              <w:spacing w:before="0" w:after="0"/>
              <w:jc w:val="start"/>
              <w:rPr>
                <w:sz w:val="13"/>
                <w:szCs w:val="13"/>
              </w:rPr>
            </w:pPr>
            <w:r>
              <w:rPr>
                <w:kern w:val="0"/>
                <w:sz w:val="13"/>
                <w:szCs w:val="13"/>
                <w:lang w:bidi="ar-SA"/>
              </w:rPr>
              <w:t>Z DNIA 20 MAJA 2021 r. O OCHRONIE PRAW NABYWCY LOKALU MIESZKALNEGO LUB DOMU JEDNORODZINNEGO ORAZ</w:t>
            </w:r>
          </w:p>
          <w:p>
            <w:pPr>
              <w:pStyle w:val="p1"/>
              <w:widowControl/>
              <w:suppressAutoHyphens w:val="true"/>
              <w:spacing w:before="0" w:after="0"/>
              <w:jc w:val="start"/>
              <w:rPr>
                <w:sz w:val="13"/>
                <w:szCs w:val="13"/>
              </w:rPr>
            </w:pPr>
            <w:r>
              <w:rPr>
                <w:kern w:val="0"/>
                <w:sz w:val="13"/>
                <w:szCs w:val="13"/>
                <w:lang w:bidi="ar-SA"/>
              </w:rPr>
              <w:t>DEWELOPERSKIM FUNDUSZU GWARANCYJNYM</w:t>
            </w:r>
          </w:p>
          <w:p>
            <w:pPr>
              <w:pStyle w:val="Normal"/>
              <w:widowControl/>
              <w:suppressAutoHyphens w:val="true"/>
              <w:spacing w:lineRule="auto" w:line="240" w:before="0" w:after="0"/>
              <w:jc w:val="start"/>
              <w:rPr>
                <w:rFonts w:ascii="Helvetica" w:hAnsi="Helvetica" w:hint="eastAsia"/>
                <w:sz w:val="13"/>
                <w:szCs w:val="13"/>
                <w:lang w:val="pl-PL"/>
              </w:rPr>
            </w:pPr>
            <w:r>
              <w:rPr>
                <w:rFonts w:eastAsia="" w:cs="" w:hint="eastAsia" w:ascii="Helvetica" w:hAnsi="Helvetica"/>
                <w:kern w:val="0"/>
                <w:sz w:val="13"/>
                <w:szCs w:val="13"/>
                <w:lang w:val="pl-PL" w:eastAsia="en-US" w:bidi="ar-SA"/>
              </w:rPr>
            </w:r>
          </w:p>
        </w:tc>
        <w:tc>
          <w:tcPr>
            <w:tcW w:w="5945" w:type="dxa"/>
            <w:gridSpan w:val="2"/>
            <w:tcBorders/>
          </w:tcPr>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§12.1.</w:t>
            </w:r>
            <w:r>
              <w:rPr>
                <w:rFonts w:eastAsia="MS Mincho" w:cs="Arial" w:ascii="Helvetica" w:hAnsi="Helvetica"/>
                <w:kern w:val="0"/>
                <w:sz w:val="13"/>
                <w:szCs w:val="13"/>
                <w:lang w:val="pl-PL" w:eastAsia="en-US" w:bidi="ar-SA"/>
              </w:rPr>
              <w:t> Nabywcy mają prawo odstąpić od Umowy Deweloperskiej: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a)        jeżeli Umowa Deweloperska nie zawiera elementów, o których mowa w art. 35 Ustawy,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b)        jeżeli informacje zawarte w Umowie Deweloperskiej nie są zgodne z informacjami zawartymi w Prospekcie Informacyjnym, z wyjątkiem zmian, o których mowa w art. 35 ust. 2 Ustawy,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c)        jeżeli Deweloper nie doręczył Nabywcom Prospektu Informacyjnego zgodnie z art. 21 i art. 22 Ustawy,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d)        jeżeli dane lub informacje zawarte w Prospekcie Informacyjnym, na podstawie których zawarto Umowę Deweloperską są niezgodne ze stanem faktycznym i prawnym w dniu podpisania Umowy Deweloperskiej,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e)        jeżeli Prospekt Informacyjny, na podstawie którego zawarto Umowę Deweloperską nie zawiera danych lub informacji określonych we wzorze prospektu informacyjnego stanowiącym załącznik do Ustawy,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f)         w przypadku nie zawarcia umowy o prowadzenie rachunku powierniczego z innym bankiem lub inną kasą w razie wypowiedzenia umowy takiego rachunku przez Bank w trybie i terminie, o których mowa w art. 10 ust. 1 Ustawy,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g)        w przypadku niewykonania przez Dewelopera obowiązku, o którym mowa w art. 12 ust. 2 Ustawy, w terminie określonym w tym przepisie,----------------------------------</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h)        w przypadku nie przeniesienia na Nabywców własności Lokalu w terminie określonym w Umowie Deweloperskiej,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i)          w przypadku gdy Deweloper nie posiada zgody wierzyciela hipotecznego lub zobowiązania do jej udzielenia, o których mowa w art. 25 ust. 1 pkt 1) lub pkt 2) Ustawy,------------------------------------------------------------------------------------------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j)          w przypadku nieusunięcia przez Dewelopera wady istotnej Lokalu  na zasadach określonych w art. 41 ust. 11 Ustawy,-------------------------------------------------------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k)        w przypadku stwierdzenia przez rzeczoznawcę istnienia wady istotnej, o którym mowa w art. 41 ust. 15 Ustawy;--------------------------------------------------------------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l)          jeżeli syndyk zażądał wykonania umowy na podstawie </w:t>
            </w:r>
            <w:hyperlink r:id="rId4">
              <w:r>
                <w:rPr>
                  <w:rStyle w:val="Hyperlink"/>
                  <w:rFonts w:eastAsia="MS Mincho" w:cs="Arial" w:ascii="Helvetica" w:hAnsi="Helvetica"/>
                  <w:kern w:val="0"/>
                  <w:sz w:val="13"/>
                  <w:szCs w:val="13"/>
                  <w:lang w:val="pl-PL" w:eastAsia="en-US" w:bidi="ar-SA"/>
                </w:rPr>
                <w:t>art. 98</w:t>
              </w:r>
            </w:hyperlink>
            <w:r>
              <w:rPr>
                <w:rFonts w:eastAsia="MS Mincho" w:cs="Arial" w:ascii="Helvetica" w:hAnsi="Helvetica"/>
                <w:kern w:val="0"/>
                <w:sz w:val="13"/>
                <w:szCs w:val="13"/>
                <w:lang w:val="pl-PL" w:eastAsia="en-US" w:bidi="ar-SA"/>
              </w:rPr>
              <w:t> ustawy z dnia 28 lutego 2003 roku Prawo upadłościowe.------------------------------------------------------</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2.</w:t>
            </w:r>
            <w:r>
              <w:rPr>
                <w:rFonts w:eastAsia="MS Mincho" w:cs="Arial" w:ascii="Helvetica" w:hAnsi="Helvetica"/>
                <w:kern w:val="0"/>
                <w:sz w:val="13"/>
                <w:szCs w:val="13"/>
                <w:lang w:val="pl-PL" w:eastAsia="en-US" w:bidi="ar-SA"/>
              </w:rPr>
              <w:t>       W przypadku, o którym mowa:-----------------------------------------------------------------------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a)        w ust. 1 lit. a) – lit. e) powyżej Nabywcy mają prawo do odstąpienia od Umowy Deweloperskiej w terminie 30 (trzydziestu) dni od dnia jej zawarcia,------------------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b)        </w:t>
            </w:r>
            <w:r>
              <w:rPr>
                <w:rFonts w:eastAsia="MS Mincho" w:cs="Arial" w:ascii="Helvetica" w:hAnsi="Helvetica"/>
                <w:i/>
                <w:iCs/>
                <w:kern w:val="0"/>
                <w:sz w:val="13"/>
                <w:szCs w:val="13"/>
                <w:lang w:val="pl-PL" w:eastAsia="en-US" w:bidi="ar-SA"/>
              </w:rPr>
              <w:t> </w:t>
            </w:r>
            <w:r>
              <w:rPr>
                <w:rFonts w:eastAsia="MS Mincho" w:cs="Arial" w:ascii="Helvetica" w:hAnsi="Helvetica"/>
                <w:kern w:val="0"/>
                <w:sz w:val="13"/>
                <w:szCs w:val="13"/>
                <w:lang w:val="pl-PL" w:eastAsia="en-US" w:bidi="ar-SA"/>
              </w:rPr>
              <w:t>w ust. 1 lit. f) powyżej Nabywcy mają prawo do odstąpienia od Umowy Deweloperskiej w terminie 30 (trzydziestu) dni od dnia dokonania przez Bank zwrotu środków zgodnie z art. 10 ust. 3 Ustawy,-------------------------------------------</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c)         w ust. 1 lit. g) powyżej Nabywcy mają prawo do odstąpienia od Umowy Deweloperskiej w terminie 30 (trzydziestu) dni od dnia upływu 60 (sześćdziesięciu) dni od dnia podania przez Dewelopera do publicznej wiadomości informacji, o spełnieniu warunku gwarancji w rozumieniu </w:t>
            </w:r>
            <w:hyperlink r:id="rId5">
              <w:r>
                <w:rPr>
                  <w:rStyle w:val="Hyperlink"/>
                  <w:rFonts w:eastAsia="MS Mincho" w:cs="Arial" w:ascii="Helvetica" w:hAnsi="Helvetica"/>
                  <w:kern w:val="0"/>
                  <w:sz w:val="13"/>
                  <w:szCs w:val="13"/>
                  <w:lang w:val="pl-PL" w:eastAsia="en-US" w:bidi="ar-SA"/>
                </w:rPr>
                <w:t>art. 2 pkt 57 lit. a</w:t>
              </w:r>
            </w:hyperlink>
            <w:r>
              <w:rPr>
                <w:rFonts w:eastAsia="MS Mincho" w:cs="Arial" w:ascii="Helvetica" w:hAnsi="Helvetica"/>
                <w:kern w:val="0"/>
                <w:sz w:val="13"/>
                <w:szCs w:val="13"/>
                <w:lang w:val="pl-PL" w:eastAsia="en-US" w:bidi="ar-SA"/>
              </w:rPr>
              <w:t> lub </w:t>
            </w:r>
            <w:hyperlink r:id="rId6">
              <w:r>
                <w:rPr>
                  <w:rStyle w:val="Hyperlink"/>
                  <w:rFonts w:eastAsia="MS Mincho" w:cs="Arial" w:ascii="Helvetica" w:hAnsi="Helvetica"/>
                  <w:kern w:val="0"/>
                  <w:sz w:val="13"/>
                  <w:szCs w:val="13"/>
                  <w:lang w:val="pl-PL" w:eastAsia="en-US" w:bidi="ar-SA"/>
                </w:rPr>
                <w:t>b</w:t>
              </w:r>
            </w:hyperlink>
            <w:r>
              <w:rPr>
                <w:rFonts w:eastAsia="MS Mincho" w:cs="Arial" w:ascii="Helvetica" w:hAnsi="Helvetica"/>
                <w:kern w:val="0"/>
                <w:sz w:val="13"/>
                <w:szCs w:val="13"/>
                <w:lang w:val="pl-PL" w:eastAsia="en-US" w:bidi="ar-SA"/>
              </w:rPr>
              <w:t> ustawy z dnia 10 czerwca 2016 r. o Bankowym Funduszu Gwarancyjnym, systemie gwarantowania depozytów oraz przymusowej restrukturyzacji wobec banku prowadzącego mieszkaniowy rachunek powierniczy dla Zadania Inwestycyjnego,--</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d)        w ust. 1 lit. i) powyżej Nabywcy mają prawo do odstąpienia od Umowy Deweloperskiej w terminie 60 dni od dnia jej zawarcia,----------------------------------</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e)        w ust. 1 lit. j) powyżej Nabywcy mają prawo do odstąpienia od Umowy Deweloperskiej w terminie 30 (trzydziestu) dni od dnia                                             bezskutecznego upływu terminu na usunięcie przez Dewelopera wady istotnej,------</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f)         w ust. 1 lit. k) Umowy Deweloperskiej Nabywcy mają prawo do odstąpienia od Umowy Deweloperskiej w terminie 30 (trzydziestu) dni od dnia                                             przedstawienia  przez Nabywców Deweloperowi opinii rzeczoznawcy budowlanego stwierdzającej istnienie wady istotnej,------------------------------------------------------</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g)        w ust. 1 lit. l) Umowy Deweloperskiej Nabywcy mają prawo do odstąpienia od Umowy Deweloperskiej w terminie 30 (trzydziestu) dni od dnia                                      zgłoszenia przez syndyka Nabywcom żądania wykonania Umowy Deweloperskiej na podstawie </w:t>
            </w:r>
            <w:hyperlink r:id="rId7">
              <w:r>
                <w:rPr>
                  <w:rStyle w:val="Hyperlink"/>
                  <w:rFonts w:eastAsia="MS Mincho" w:cs="Arial" w:ascii="Helvetica" w:hAnsi="Helvetica"/>
                  <w:kern w:val="0"/>
                  <w:sz w:val="13"/>
                  <w:szCs w:val="13"/>
                  <w:lang w:val="pl-PL" w:eastAsia="en-US" w:bidi="ar-SA"/>
                </w:rPr>
                <w:t>art. 98</w:t>
              </w:r>
            </w:hyperlink>
            <w:r>
              <w:rPr>
                <w:rFonts w:eastAsia="MS Mincho" w:cs="Arial" w:ascii="Helvetica" w:hAnsi="Helvetica"/>
                <w:kern w:val="0"/>
                <w:sz w:val="13"/>
                <w:szCs w:val="13"/>
                <w:lang w:val="pl-PL" w:eastAsia="en-US" w:bidi="ar-SA"/>
              </w:rPr>
              <w:t> ustawy z dnia 28 lutego 2003 roku Prawo upadłościowe.------</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3</w:t>
            </w:r>
            <w:r>
              <w:rPr>
                <w:rFonts w:eastAsia="MS Mincho" w:cs="Arial" w:ascii="Helvetica" w:hAnsi="Helvetica"/>
                <w:kern w:val="0"/>
                <w:sz w:val="13"/>
                <w:szCs w:val="13"/>
                <w:lang w:val="pl-PL" w:eastAsia="en-US" w:bidi="ar-SA"/>
              </w:rPr>
              <w:t>. W przypadku, o którym mowa w ust. 1 lit. h) powyżej, przed skorzystaniem z prawa do odstąpienia od Umowy Deweloperskiej, Nabywcy wyznaczą Deweloperowi 120 (stu dwudziesto) dniowy termin na przeniesienie własności Lokalu, a w razie bezskutecznego upływu tego terminu, będą uprawnieni do odstąpienia od niniejszej umowy w terminie 30 (trzydziestu) dni od dnia upływu terminu. Nabywcy zachowują roszczenie z tytułu kary umownej za okres opóźnienia.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4.</w:t>
            </w:r>
            <w:r>
              <w:rPr>
                <w:rFonts w:eastAsia="MS Mincho" w:cs="Arial" w:ascii="Helvetica" w:hAnsi="Helvetica"/>
                <w:kern w:val="0"/>
                <w:sz w:val="13"/>
                <w:szCs w:val="13"/>
                <w:lang w:val="pl-PL" w:eastAsia="en-US" w:bidi="ar-SA"/>
              </w:rPr>
              <w:t> Oświadczenie woli Nabywców o odstąpieniu od Umowy Deweloperskiej, o którym mowa w ust. 2 i ust. 3 powyżej będzie skuteczne, jeżeli będzie zawierać zgodę na wykreślenie roszczenia o przeniesienie własności Lokalu z księgi wieczystej prowadzonej dla Nieruchomości i będzie złożone w formie pisemnej z podpisami notarialnie poświadczonymi. --------------------------------</w:t>
            </w:r>
          </w:p>
          <w:p>
            <w:pPr>
              <w:pStyle w:val="Normal"/>
              <w:widowControl/>
              <w:suppressAutoHyphens w:val="true"/>
              <w:spacing w:lineRule="auto" w:line="240" w:before="0" w:after="0"/>
              <w:jc w:val="start"/>
              <w:rPr>
                <w:rFonts w:ascii="Helvetica" w:hAnsi="Helvetica" w:hint="eastAsia"/>
                <w:sz w:val="13"/>
                <w:szCs w:val="13"/>
                <w:lang w:val="pl-PL"/>
              </w:rPr>
            </w:pPr>
            <w:r>
              <w:rPr>
                <w:rFonts w:eastAsia="" w:cs="" w:hint="eastAsia" w:ascii="Helvetica" w:hAnsi="Helvetica"/>
                <w:kern w:val="0"/>
                <w:sz w:val="13"/>
                <w:szCs w:val="13"/>
                <w:lang w:val="pl-PL" w:eastAsia="en-US" w:bidi="ar-SA"/>
              </w:rPr>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5.</w:t>
            </w:r>
            <w:r>
              <w:rPr>
                <w:rFonts w:eastAsia="MS Mincho" w:cs="Arial" w:ascii="Helvetica" w:hAnsi="Helvetica"/>
                <w:kern w:val="0"/>
                <w:sz w:val="13"/>
                <w:szCs w:val="13"/>
                <w:lang w:val="pl-PL" w:eastAsia="en-US" w:bidi="ar-SA"/>
              </w:rPr>
              <w:t> W przypadku odstąpienia od Umowy Deweloperskiej przez Nabywców: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a)      Deweloper ma obowiązek niezwłocznie, jednak nie później niż w terminie 30 (trzydziestu) dni od dnia otrzymania oświadczenia Nabywców o odstąpieniu od Umowy Deweloperskiej (sporządzonego zgodnie z ust. 4 powyżej), zwrócić Nabywcom środki wypłacone Deweloperowi przez Bank z rachunku powierniczego w związku z realizacją Umowy Deweloperskiej, -----------------------------------------------------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b)      ewentualnie w terminie 30 (trzydziestu) dni od dnia otrzymania oświadczenia Nabywców o odstąpieniu od Umowy Deweloperskiej (sporządzonego zgodnie z ust. 4 powyżej), Deweloper przekazuje do Ubezpieczeniowego Funduszu Gwarancyjnego (w celu realizacji przez Ubezpieczeniowy Fundusz Gwarancyjny zwrotu wpłat Nabywców w przypadku odstąpienia od Umowy Deweloperskiej przez Nabywców na podstawie art. 43 ust. 1 pkt od 1) do pkt 11) Ustawy i nieotrzymania przez Nabywców zwrotu środków w terminie 30 (trzydziestu) dni od dnia otrzymania oświadczenia Nabywców o odstąpieniu od Umowy Deweloperskiej) </w:t>
            </w:r>
            <w:r>
              <w:rPr>
                <w:rFonts w:eastAsia="MS Mincho" w:cs="Arial" w:ascii="Helvetica" w:hAnsi="Helvetica"/>
                <w:i/>
                <w:iCs/>
                <w:kern w:val="0"/>
                <w:sz w:val="13"/>
                <w:szCs w:val="13"/>
                <w:lang w:val="pl-PL" w:eastAsia="en-US" w:bidi="ar-SA"/>
              </w:rPr>
              <w:t>–</w:t>
            </w:r>
            <w:r>
              <w:rPr>
                <w:rFonts w:eastAsia="MS Mincho" w:cs="Arial" w:ascii="Helvetica" w:hAnsi="Helvetica"/>
                <w:kern w:val="0"/>
                <w:sz w:val="13"/>
                <w:szCs w:val="13"/>
                <w:lang w:val="pl-PL" w:eastAsia="en-US" w:bidi="ar-SA"/>
              </w:rPr>
              <w:t> informację o wysokości środków zwróconych Nabywcom w związku z odstąpieniem przez nich od Umowy Deweloperskiej i dacie dokonania zwrotu tych środków.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6.</w:t>
            </w:r>
            <w:r>
              <w:rPr>
                <w:rFonts w:eastAsia="MS Mincho" w:cs="Arial" w:ascii="Helvetica" w:hAnsi="Helvetica"/>
                <w:kern w:val="0"/>
                <w:sz w:val="13"/>
                <w:szCs w:val="13"/>
                <w:lang w:val="pl-PL" w:eastAsia="en-US" w:bidi="ar-SA"/>
              </w:rPr>
              <w:t> W przypadku odstąpienia od Umowy Deweloperskiej przez Nabywców z przyczyn określonych w ust. 1 lit. h) tego aktu notarialnego, Nabywcom przysługiwać będzie ponadto kara umowna w wysokości 1,50 % (jeden procent pięćdziesiąt setnych procenta) ceny brutto Lokalu. Zapłata kary umownej przez Dewelopera nie pozbawia Nabywców prawa dochodzenia naprawienia szkody rzeczywistej powstałej z tego tytułu oraz zwrotu utraconych korzyści na zasadach ogólnych, określonych w Kodeksie cywilnym, w zakresie przekraczającym wysokość zastrzeżonej kary umownej. -------------------------------------------------------------------------------------------------------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7.</w:t>
            </w:r>
            <w:r>
              <w:rPr>
                <w:rFonts w:eastAsia="MS Mincho" w:cs="Arial" w:ascii="Helvetica" w:hAnsi="Helvetica"/>
                <w:kern w:val="0"/>
                <w:sz w:val="13"/>
                <w:szCs w:val="13"/>
                <w:lang w:val="pl-PL" w:eastAsia="en-US" w:bidi="ar-SA"/>
              </w:rPr>
              <w:t> W przypadku zwłoki Dewelopera z zawarciem Umowy Przeniesienia i nieskorzystania przez Nabywców z prawa odstąpienia od Umowy Deweloperskiej, o którym mowa w ust. 3 tego paragrafu, Nabywcom przysługuje kara umowna w wysokości 1,50 % (jeden procent pięćdziesiąt setnych procenta) ceny brutto Lokalu. Zapłata kary umownej nie pozbawia Nabywców prawa dochodzenia naprawienia szkody rzeczywistej powstałej z tego tytułu oraz zwrotu utraconych korzyści na zasadach ogólnych, w zakresie przekraczającym wysokość zastrzeżonej kary umownej.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8.</w:t>
            </w:r>
            <w:r>
              <w:rPr>
                <w:rFonts w:eastAsia="MS Mincho" w:cs="Arial" w:ascii="Helvetica" w:hAnsi="Helvetica"/>
                <w:kern w:val="0"/>
                <w:sz w:val="13"/>
                <w:szCs w:val="13"/>
                <w:lang w:val="pl-PL" w:eastAsia="en-US" w:bidi="ar-SA"/>
              </w:rPr>
              <w:t xml:space="preserve"> Deweloper ma prawo odstąpić od Umowy Deweloperskiej w przypadku niespełnienia przez Nabywców świadczenia pieniężnego w terminie lub wysokości określonej w § 6 ust. 2 Umowy Deweloperskiej, mimo wezwania Nabywców w formie pisemnej do uiszczenia zaległych kwot w terminie 30 (trzydziestu) dni od dnia doręczenia im wezwania, chyba że niespełnienie przez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Nabywców świadczenia pieniężnego jest spowodowane działaniem siły wyższej.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9.</w:t>
            </w:r>
            <w:r>
              <w:rPr>
                <w:rFonts w:eastAsia="MS Mincho" w:cs="Arial" w:ascii="Helvetica" w:hAnsi="Helvetica"/>
                <w:kern w:val="0"/>
                <w:sz w:val="13"/>
                <w:szCs w:val="13"/>
                <w:lang w:val="pl-PL" w:eastAsia="en-US" w:bidi="ar-SA"/>
              </w:rPr>
              <w:t> Deweloper ma prawo odstąpić od Umowy Deweloperskiej w przypadku niestawienia się Nabywców do odbioru Lokalu lub nieprzystąpienia przez Nabywców do zawarcia Umowy Przeniesienia, w każdym przypadku mimo dwukrotnego doręczenia Nabywcom wezwania w formie pisemnej, listem poleconym w odstępie co najmniej 60 (sześćdziesięciu) dni, chyba że niestawienie się Nabywców jest spowodowane działaniem siły wyższej.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10.</w:t>
            </w:r>
            <w:r>
              <w:rPr>
                <w:rFonts w:eastAsia="MS Mincho" w:cs="Arial" w:ascii="Helvetica" w:hAnsi="Helvetica"/>
                <w:kern w:val="0"/>
                <w:sz w:val="13"/>
                <w:szCs w:val="13"/>
                <w:lang w:val="pl-PL" w:eastAsia="en-US" w:bidi="ar-SA"/>
              </w:rPr>
              <w:t> Jeżeli Deweloper odstąpi od Umowy Deweloperskiej w przypadku, o którym mowa w ust. 8 niniejszego paragrafu, zwrot Nabywcom kwot wpłaconych przez nich na poczet ceny brutto, nastąpi:------------------------------------------------------------------------------------------------------------  w terminie 30 (trzydziestu) dni od dnia doręczenia Deweloperowi oświadczenia woli Nabywców, złożonego w formie pisemnej z podpisami notarialnie poświadczonymi, zawierającego zgodę na wykreślenie roszczenia ujawnionego w księdze wieczystej Kw nr WA1W/00034460/1 oraz-----------------------------------------------------------------------------</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po uprzednim potrąceniu przez Dewelopera kwoty kwoty stanowiącej 1,50 % (jeden procent pięćdziesiąt setnych procenta) ceny brutto Lokalu, tytułem zwrotu kosztów poniesionych z tego tytułu przez Dewelopera.--------------------------------------------------------------------------------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11.</w:t>
            </w:r>
            <w:r>
              <w:rPr>
                <w:rFonts w:eastAsia="MS Mincho" w:cs="Arial" w:ascii="Helvetica" w:hAnsi="Helvetica"/>
                <w:kern w:val="0"/>
                <w:sz w:val="13"/>
                <w:szCs w:val="13"/>
                <w:lang w:val="pl-PL" w:eastAsia="en-US" w:bidi="ar-SA"/>
              </w:rPr>
              <w:t> Jeżeli Deweloper odstąpi od Umowy Deweloperskiej w przypadkach, o których mowa w ust. 9 niniejszego paragrafu, zwrot Nabywcom kwot wpłaconych przez nich na poczet ceny brutto nastąpi w terminie 30 (trzydziestu) dni od dnia doręczenia Deweloperowi oświadczenia woli Nabywców, złożonego w formie pisemnej z podpisami notarialnie poświadczonymi, zawierającego zgodę na wykreślenie roszczenia ujawnionego w księdze wieczystej Kw nr WA1W/ 00034460/1.----------------------------------------------------------------------------------</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b/>
                <w:bCs/>
                <w:kern w:val="0"/>
                <w:sz w:val="13"/>
                <w:szCs w:val="13"/>
                <w:lang w:val="pl-PL" w:eastAsia="en-US" w:bidi="ar-SA"/>
              </w:rPr>
              <w:t>12.</w:t>
            </w:r>
            <w:r>
              <w:rPr>
                <w:rFonts w:eastAsia="MS Mincho" w:cs="Arial" w:ascii="Helvetica" w:hAnsi="Helvetica"/>
                <w:kern w:val="0"/>
                <w:sz w:val="13"/>
                <w:szCs w:val="13"/>
                <w:lang w:val="pl-PL" w:eastAsia="en-US" w:bidi="ar-SA"/>
              </w:rPr>
              <w:t> W przypadku odstąpienia od Umowy Deweloperskiej przez Dewelopera z przyczyn leżących po stronie Nabywców, o których mowa w ust. 9 tego paragrafu, Deweloperowi przysługiwać będzie kara umowna w wysokości 1,50 % (jeden procent pięćdziesiąt setnych procenta) ceny brutto Lokalu. Zapłata kary umownej przez Nabywców nie pozbawia Dewelopera prawa dochodzenia naprawienia szkody rzeczywistej powstałej z tego tytułu oraz zwrotu utraconych korzyści na zasadach ogólnych, określonych w Kodeksie cywilnym, w zakresie przekraczającym wysokość zastrzeżonej kary umownej. ---------------------------------------------------------------------</w:t>
            </w:r>
          </w:p>
          <w:p>
            <w:pPr>
              <w:pStyle w:val="Normal"/>
              <w:widowControl/>
              <w:suppressAutoHyphens w:val="true"/>
              <w:spacing w:lineRule="auto" w:line="240" w:before="0" w:after="0"/>
              <w:jc w:val="start"/>
              <w:rPr>
                <w:rFonts w:ascii="Helvetica" w:hAnsi="Helvetica" w:hint="eastAsia"/>
                <w:sz w:val="13"/>
                <w:szCs w:val="13"/>
                <w:lang w:val="pl-PL"/>
              </w:rPr>
            </w:pPr>
            <w:r>
              <w:rPr>
                <w:rFonts w:eastAsia="" w:cs="" w:hint="eastAsia" w:ascii="Helvetica" w:hAnsi="Helvetica"/>
                <w:kern w:val="0"/>
                <w:sz w:val="13"/>
                <w:szCs w:val="13"/>
                <w:lang w:val="pl-PL" w:eastAsia="en-US" w:bidi="ar-SA"/>
              </w:rPr>
            </w:r>
          </w:p>
        </w:tc>
      </w:tr>
      <w:tr>
        <w:trPr>
          <w:trHeight w:val="137" w:hRule="atLeast"/>
        </w:trPr>
        <w:tc>
          <w:tcPr>
            <w:tcW w:w="8914" w:type="dxa"/>
            <w:gridSpan w:val="3"/>
            <w:tcBorders/>
            <w:shd w:color="auto" w:fill="4F81BD" w:themeFill="accent1" w:val="clear"/>
          </w:tcPr>
          <w:p>
            <w:pPr>
              <w:pStyle w:val="p1"/>
              <w:widowControl/>
              <w:suppressAutoHyphens w:val="true"/>
              <w:spacing w:before="0" w:after="0"/>
              <w:jc w:val="center"/>
              <w:rPr>
                <w:b/>
                <w:bCs/>
                <w:sz w:val="16"/>
                <w:szCs w:val="16"/>
              </w:rPr>
            </w:pPr>
            <w:r>
              <w:rPr>
                <w:b/>
                <w:bCs/>
                <w:kern w:val="0"/>
                <w:sz w:val="16"/>
                <w:szCs w:val="16"/>
                <w:lang w:bidi="ar-SA"/>
              </w:rPr>
              <w:t>INFORMACJE</w:t>
            </w:r>
          </w:p>
        </w:tc>
      </w:tr>
      <w:tr>
        <w:trPr>
          <w:trHeight w:val="137" w:hRule="atLeast"/>
        </w:trPr>
        <w:tc>
          <w:tcPr>
            <w:tcW w:w="8914" w:type="dxa"/>
            <w:gridSpan w:val="3"/>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Informacja o: </w:t>
            </w:r>
          </w:p>
          <w:p>
            <w:pPr>
              <w:pStyle w:val="Normal"/>
              <w:widowControl/>
              <w:numPr>
                <w:ilvl w:val="0"/>
                <w:numId w:val="7"/>
              </w:numPr>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1)  zgodzie banku lub innego wierzyciela hipotecznego na bezobciążeniowe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bezobciążeniowe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pPr>
              <w:pStyle w:val="Normal"/>
              <w:widowControl/>
              <w:numPr>
                <w:ilvl w:val="0"/>
                <w:numId w:val="7"/>
              </w:numPr>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2)  w przypadku umów, o których mowa w art. 2 ust. 2 ustawy z dnia 20 maja 2021 r. o ochronie praw nabywcy lokalu mieszkalnego lub domu jednorodzinnego oraz Deweloperskim Funduszu Gwarancyjnym, o zgodzie banku lub innego wierzyciela hipotecznego na bezobciążeniowe przeniesienie własności lokalu użytkowego na nabywcę̨ po wpłacie pełnej ceny przez nabywcę̨ lub zobowiązaniu do udzielenia takiej zgody, jeżeli takie obciążenie istnieje, albo zgodzie banku lub innego wierzyciela hipotecznego na bezobciążeniowe przeniesienie na nabywcę̨ ułamkowej części własności lokalu użytkowego po wpłacie pełnej ceny przez nabywcę̨ lub zobowiązaniu do udzielenia takiej zgody, jeżeli takie obciążenie istnieje.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r>
      <w:tr>
        <w:trPr>
          <w:trHeight w:val="137" w:hRule="atLeast"/>
        </w:trPr>
        <w:tc>
          <w:tcPr>
            <w:tcW w:w="8914" w:type="dxa"/>
            <w:gridSpan w:val="3"/>
            <w:tcBorders/>
            <w:shd w:color="auto" w:fill="auto" w:val="clear"/>
          </w:tcPr>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II. Informacja o możliwości zapoznania się̨ w lokalu przedsiębiorstwa przez osobę̨ zainteresowaną zawarciem umowy odpowiednio do zakresu umowy z: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1)  aktualnym stanem księgi wieczystej prowadzonej dla nieruchomości;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2)  aktualnym odpisem, wyciągiem, zaświadczeniem lub wydrukiem komputerowym z Centralnej Informacji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Krajowego Rejestru Sadowego, jeżeli podmiot podlega wpisowi do Krajowego Rejestru Sądowego, albo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aktualnym zaświadczeniem o wpisie do Centralnej Ewidencji i Informacji o Działalności Gospodarczej;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3)  pozwoleniem na budowę̨ albo zgłoszeniem budowy, o którym mowa w art. 29 ust. 1 pkt 1 ustawy z dnia 7 lipca 1994 r. – Prawo budowlane, do którego organ administracji architektoniczno-budowlanej nie wniósł sprzeciwu;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4)  sprawozdaniem finansowym dewelopera za ostatnie dwa lata, a w przypadku: </w:t>
            </w:r>
          </w:p>
          <w:p>
            <w:pPr>
              <w:pStyle w:val="Normal"/>
              <w:widowControl/>
              <w:numPr>
                <w:ilvl w:val="1"/>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a)  prowadzenia działalności przez okres krótszy niż dwa lata – sprawozdaniem finansowym za okres </w:t>
            </w:r>
          </w:p>
          <w:p>
            <w:pPr>
              <w:pStyle w:val="Normal"/>
              <w:widowControl/>
              <w:numPr>
                <w:ilvl w:val="1"/>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ostatniego roku, </w:t>
            </w:r>
          </w:p>
          <w:p>
            <w:pPr>
              <w:pStyle w:val="Normal"/>
              <w:widowControl/>
              <w:numPr>
                <w:ilvl w:val="1"/>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b)  realizacji inwestycji przez spółkę̨ celową – sprawozdaniem spółki dominującej oraz spółki celowej;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5)  projektem budowlanym;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6)  decyzją o pozwoleniu na użytkowanie budynku lub zawiadomieniem o zakończeniu budowy, do którego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organ nadzoru budowlanego nie wniósł sprzeciwu;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7)  zaświadczeniem o samodzielności lokalu;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8)  aktem ustanowienia odrębnej własności lokalu; </w:t>
            </w:r>
          </w:p>
          <w:p>
            <w:pPr>
              <w:pStyle w:val="Normal"/>
              <w:widowControl/>
              <w:numPr>
                <w:ilvl w:val="0"/>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9)  dokumentem potwierdzającym: </w:t>
            </w:r>
          </w:p>
          <w:p>
            <w:pPr>
              <w:pStyle w:val="Normal"/>
              <w:widowControl/>
              <w:numPr>
                <w:ilvl w:val="1"/>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a)  zgodę banku lub innego wierzyciela hipotecznego na bezobciążeniowe ustanowienie odrębnej własności lokalu mieszkalnego i przeniesienie jego własności na nabywcę po wpłacie pełnej ceny przez nabywcę lub zobowiązanie do jej udzielenia, jeżeli takie obciążenie istnieje, albo zgodę banku lub innego wierzyciela hipotecznego na bezobciążeniowe przeniesienie na nabywcę własności nieruchomości wraz z domem jednorodzinnym lub użytkowania wieczystego nieruchomości gruntowej i własności domu jednorodzinnego stanowiącego odrębną nieruchomość, lub przeniesienie ułamkowej części własności nieruchomości wraz z prawem do wyłącznego korzystania z części nieruchomości służącej zaspokajaniu potrzeb mieszkaniowych po wpłacie pełnej ceny przez nabywcę lub zobowiązanie do jej udzielenia, jeżeli takie obciążenie istnieje, </w:t>
            </w:r>
          </w:p>
          <w:p>
            <w:pPr>
              <w:pStyle w:val="Normal"/>
              <w:widowControl/>
              <w:numPr>
                <w:ilvl w:val="1"/>
                <w:numId w:val="8"/>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b)  w przypadku umów, o których mowa w art. 2 ust. 2 ustawy z dnia 20 maja 2021 r. o ochronie praw nabywcy lokalu mieszkalnego lub domu jednorodzinnego oraz Deweloperskim Funduszu Gwarancyjnym, zgodę banku lub innego wierzyciela hipotecznego na bezobciążeniowe przeniesienie własności lokalu użytkowego na nabywcę po wpłacie pełnej ceny przez nabywcę lub zobowiązanie do udzielenia takiej zgody, jeżeli takie obciążenie istnieje, albo zgodę banku lub innego wierzyciela hipotecznego na bezobciążeniowe przeniesienie na nabywcę ułamkowej części własności lokalu użytkowego po wpłacie pełnej ceny przez nabywcę̨ lub zobowiązanie do udzielenia takiej zgody, jeżeli takie obciążenie istnieje. </w:t>
            </w:r>
          </w:p>
          <w:p>
            <w:pPr>
              <w:pStyle w:val="Normal"/>
              <w:widowControl/>
              <w:suppressAutoHyphens w:val="true"/>
              <w:spacing w:lineRule="auto" w:line="240" w:before="0" w:after="0"/>
              <w:jc w:val="start"/>
              <w:rPr>
                <w:rFonts w:ascii="Helvetica" w:hAnsi="Helvetica" w:hint="eastAsia"/>
                <w:sz w:val="13"/>
                <w:szCs w:val="13"/>
                <w:lang w:val="pl-PL"/>
              </w:rPr>
            </w:pPr>
            <w:r>
              <w:rPr>
                <w:rFonts w:eastAsia="" w:cs="" w:hint="eastAsia" w:ascii="Helvetica" w:hAnsi="Helvetica"/>
                <w:kern w:val="0"/>
                <w:sz w:val="13"/>
                <w:szCs w:val="13"/>
                <w:lang w:val="pl-PL" w:eastAsia="en-US" w:bidi="ar-SA"/>
              </w:rPr>
            </w:r>
          </w:p>
        </w:tc>
      </w:tr>
      <w:tr>
        <w:trPr>
          <w:trHeight w:val="137" w:hRule="atLeast"/>
        </w:trPr>
        <w:tc>
          <w:tcPr>
            <w:tcW w:w="8914" w:type="dxa"/>
            <w:gridSpan w:val="3"/>
            <w:tcBorders/>
            <w:shd w:color="auto" w:fill="auto" w:val="clear"/>
          </w:tcPr>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III. Informacja: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Środki pieniężne zgromadzone w BANK BPS S.A prowadzącym otwarty mieszkaniowy rachunek powierniczy albo zamknięty mieszkaniowy rachunek powierniczy, są objęte ochroną obowiązkowego systemu gwarantowania depozytów, na zasadach określonych w ustawie z dnia 10 czerwca 2016 r. o Bankowym Funduszu Gwarancyjnym, systemie gwarantowania depozytów oraz przymusowej restrukturyzacji (Dz. U. z 2022 r. poz. 2253 oraz z 2023 r. poz. 825). </w:t>
            </w:r>
          </w:p>
          <w:p>
            <w:pPr>
              <w:pStyle w:val="Normal"/>
              <w:widowControl/>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Informacje podstawowe o obowiązkowym systemie gwarantowania depozytów: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ochrona środków dotyczy sytuacji spełnienia warunku gwarancji wobec BANK BPS S.A</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 xml:space="preserve">w przypadku rachunku powierniczego deponentem (uprawnionym do środków gwarantowanych) jest każdy z powierzających, w granicach wynikających z jego udziału w kwocie zgromadzonej na tym rachunku, a w granicach pozostałej kwoty na rachunku prawo do środków gwarantowanych ma powiernik,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 xml:space="preserve">limit gwarancyjny przypadający na jednego deponenta to równowartość w złotych 100 000 euro; w przypadkach określonych w art. 24 ust. 3 i 4 ustawy z dnia 10 czerwca 2016 r. o Bankowym Funduszu Gwarancyjnym, systemie gwarantowania depozytów oraz przymusowej restrukturyzacji, środki deponenta, w terminie 3 miesięcy od dnia ich wpływu na rachunek, są objęte gwarancjami ponad równowartość w złotych 100 000 euro,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 xml:space="preserve">podstawą wyliczenia kwoty środków gwarantowanych należnej deponentowi jest suma wszystkich podlegających ochronie należności tego deponenta od banku, w tym należności z tytułu środków zgromadzonych na jego rachunkach osobistych i z tytułu jego udziału w środkach zgromadzonych na rachunku powierniczym,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 xml:space="preserve">wypłata środków gwarantowanych – co do zasady – następuje w terminie 7 dni roboczych od dnia spełnienia warunku gwarancji wobec banku,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w:t>
            </w:r>
            <w:r>
              <w:rPr>
                <w:rFonts w:eastAsia="MS Mincho" w:cs="Arial" w:ascii="Helvetica" w:hAnsi="Helvetica"/>
                <w:kern w:val="0"/>
                <w:sz w:val="13"/>
                <w:szCs w:val="13"/>
                <w:lang w:val="pl-PL" w:eastAsia="en-US" w:bidi="ar-SA"/>
              </w:rPr>
              <w:t xml:space="preserve">wypłata środków gwarantowanych jest dokonywana w złotych,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 </w:t>
            </w:r>
            <w:r>
              <w:rPr>
                <w:rFonts w:eastAsia="MS Mincho" w:cs="Arial" w:ascii="Helvetica" w:hAnsi="Helvetica"/>
                <w:kern w:val="0"/>
                <w:sz w:val="13"/>
                <w:szCs w:val="13"/>
                <w:lang w:val="pl-PL" w:eastAsia="en-US" w:bidi="ar-SA"/>
              </w:rPr>
              <w:t>BANK BPS S.A</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korzysta także z następujących znaków towarowych: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Dalsze informacje na temat systemu gwarantowania depozytów można uzyskać na stronie internetowej Bankowego Funduszu Gwarancyjnego: https://www.bfg.pl/.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Informacja zamieszczana w przypadku zawarcia umowy mieszkaniowego rachunku powierniczego z oddziałem instytucji kredytowej w rozumieniu art. 4 ust. 1 pkt 18 ustawy z dnia 29 sierpnia 1997 r. – Prawo bankowe (Dz. U. z 2022 r. poz. 2324, z późn. zm.). </w:t>
            </w:r>
          </w:p>
          <w:p>
            <w:pPr>
              <w:pStyle w:val="Normal"/>
              <w:widowControl/>
              <w:numPr>
                <w:ilvl w:val="0"/>
                <w:numId w:val="9"/>
              </w:numPr>
              <w:suppressAutoHyphens w:val="true"/>
              <w:spacing w:lineRule="auto" w:line="240" w:before="0" w:after="0"/>
              <w:jc w:val="start"/>
              <w:rPr>
                <w:rFonts w:ascii="Helvetica" w:hAnsi="Helvetica" w:hint="eastAsia"/>
                <w:sz w:val="13"/>
                <w:szCs w:val="13"/>
                <w:lang w:val="pl-PL"/>
              </w:rPr>
            </w:pPr>
            <w:r>
              <w:rPr>
                <w:rFonts w:eastAsia="MS Mincho" w:cs="Arial" w:ascii="Helvetica" w:hAnsi="Helvetica"/>
                <w:kern w:val="0"/>
                <w:sz w:val="13"/>
                <w:szCs w:val="13"/>
                <w:lang w:val="pl-PL" w:eastAsia="en-US" w:bidi="ar-SA"/>
              </w:rPr>
              <w:t xml:space="preserve">Oddział instytucji kredytowej, w rozumieniu art. 4 ust. 1 pkt 18 ustawy z dnia 29 sierpnia 1997 r. – Prawo bankowe, jest objęty systemem gwarantowania państwa macierzystego, co oznacza, że nie mają do niego zastosowania przepisy ustawy z dnia 10 czerwca 2016 r. o Bankowym Funduszu Gwarancyjnym, systemie gwarantowania depozytów oraz przymusowej restrukturyzacji. </w:t>
            </w:r>
          </w:p>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r>
    </w:tbl>
    <w:p>
      <w:pPr>
        <w:pStyle w:val="Normal"/>
        <w:rPr>
          <w:lang w:val="pl-PL"/>
        </w:rPr>
      </w:pPr>
      <w:r>
        <w:rPr>
          <w:lang w:val="pl-PL"/>
        </w:rPr>
      </w:r>
    </w:p>
    <w:p>
      <w:pPr>
        <w:pStyle w:val="Normal"/>
        <w:jc w:val="center"/>
        <w:rPr>
          <w:rFonts w:ascii="Helvetica" w:hAnsi="Helvetica" w:hint="eastAsia"/>
          <w:sz w:val="16"/>
          <w:szCs w:val="16"/>
          <w:lang w:val="pl-PL"/>
        </w:rPr>
      </w:pPr>
      <w:r>
        <w:rPr>
          <w:rFonts w:ascii="Helvetica" w:hAnsi="Helvetica"/>
          <w:sz w:val="16"/>
          <w:szCs w:val="16"/>
          <w:lang w:val="pl-PL"/>
        </w:rPr>
        <w:t>CZĘŚĆ INDYWIDUALNA</w:t>
      </w:r>
    </w:p>
    <w:p>
      <w:pPr>
        <w:pStyle w:val="Normal"/>
        <w:jc w:val="center"/>
        <w:rPr>
          <w:rFonts w:ascii="Helvetica" w:hAnsi="Helvetica" w:hint="eastAsia"/>
          <w:sz w:val="16"/>
          <w:szCs w:val="16"/>
          <w:lang w:val="pl-PL"/>
        </w:rPr>
      </w:pPr>
      <w:r>
        <w:rPr>
          <w:rFonts w:ascii="Helvetica" w:hAnsi="Helvetica"/>
          <w:sz w:val="16"/>
          <w:szCs w:val="16"/>
          <w:lang w:val="pl-PL"/>
        </w:rPr>
        <w:t xml:space="preserve">DOTYCZĄCA LOKALU MIESZKALNEGO </w:t>
      </w:r>
      <w:r>
        <w:rPr>
          <w:rFonts w:hint="eastAsia" w:ascii="Helvetica" w:hAnsi="Helvetica"/>
          <w:sz w:val="16"/>
          <w:szCs w:val="16"/>
          <w:highlight w:val="yellow"/>
          <w:lang w:val="pl-PL"/>
        </w:rPr>
        <w:t>${flat_name}</w:t>
      </w:r>
    </w:p>
    <w:tbl>
      <w:tblPr>
        <w:tblStyle w:val="Tabela-Siatka"/>
        <w:tblW w:w="8780"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2926"/>
        <w:gridCol w:w="2927"/>
        <w:gridCol w:w="2927"/>
      </w:tblGrid>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20" w:afterAutospacing="0" w:after="0"/>
              <w:jc w:val="start"/>
              <w:rPr>
                <w:rFonts w:ascii="Helvetica" w:hAnsi="Helvetica" w:cs="Arial"/>
                <w:sz w:val="16"/>
                <w:szCs w:val="16"/>
              </w:rPr>
            </w:pPr>
            <w:r>
              <w:rPr>
                <w:rFonts w:eastAsia="Arial" w:cs="Arial" w:ascii="Helvetica" w:hAnsi="Helvetica"/>
                <w:b/>
                <w:bCs/>
                <w:color w:val="000000"/>
                <w:kern w:val="0"/>
                <w:sz w:val="16"/>
                <w:szCs w:val="16"/>
                <w:lang w:bidi="ar-SA"/>
              </w:rPr>
              <w:t xml:space="preserve">Cena lokalu mieszkalnego </w:t>
            </w:r>
          </w:p>
        </w:tc>
        <w:tc>
          <w:tcPr>
            <w:tcW w:w="5854"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highlight w:val="yellow"/>
                <w:lang w:val="pl-PL" w:eastAsia="en-US" w:bidi="ar-SA"/>
              </w:rPr>
              <w:t>${flat_price}</w:t>
            </w:r>
            <w:r>
              <w:rPr>
                <w:rFonts w:eastAsia="MS Mincho" w:cs="Arial"/>
                <w:kern w:val="0"/>
                <w:sz w:val="22"/>
                <w:szCs w:val="22"/>
                <w:lang w:val="pl-PL" w:eastAsia="en-US" w:bidi="ar-SA"/>
              </w:rPr>
              <w:t xml:space="preserve"> zł brutto </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Powierzchnia użytkowa lokalu mieszkalnego albo domu jednorodzinnego </w:t>
            </w:r>
          </w:p>
        </w:tc>
        <w:tc>
          <w:tcPr>
            <w:tcW w:w="5854"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${flat_area} m2</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Cena m2 powierzchni użytkowej lokalu mieszkalnego albo domu jednorodzinnego </w:t>
            </w:r>
          </w:p>
        </w:tc>
        <w:tc>
          <w:tcPr>
            <w:tcW w:w="5854"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shd w:fill="FFFF00" w:val="clear"/>
                <w:lang w:val="pl-PL" w:eastAsia="en-US" w:bidi="ar-SA"/>
              </w:rPr>
              <w:t>${flat_pricemkw}</w:t>
            </w:r>
            <w:r>
              <w:rPr>
                <w:rFonts w:eastAsia="MS Mincho" w:cs="Arial"/>
                <w:kern w:val="0"/>
                <w:sz w:val="22"/>
                <w:szCs w:val="22"/>
                <w:lang w:val="pl-PL" w:eastAsia="en-US" w:bidi="ar-SA"/>
              </w:rPr>
              <w:t xml:space="preserve"> zł/m2</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Termin, do którego nastąpi przeniesienie prawa własności nieruchomości wynikającego z umowy deweloperskiej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lub jednej z umów, o których mowa w art. 2 ust. 1 pkt 2, 3 lub 5 lub ust. 2 ustawy z dnia 20 maja 2021 r. o ochronie praw nabywcy lokalu mieszkalnego lub domu jednorodzinnego</w:t>
              <w:br/>
              <w:t xml:space="preserve">oraz Deweloperskim Funduszu Gwarancyjnym </w:t>
            </w:r>
          </w:p>
        </w:tc>
        <w:tc>
          <w:tcPr>
            <w:tcW w:w="5854" w:type="dxa"/>
            <w:gridSpan w:val="2"/>
            <w:tcBorders/>
          </w:tcPr>
          <w:p>
            <w:pPr>
              <w:pStyle w:val="Normal"/>
              <w:widowControl/>
              <w:suppressAutoHyphens w:val="true"/>
              <w:spacing w:lineRule="auto" w:line="240" w:before="0" w:after="0"/>
              <w:jc w:val="start"/>
              <w:rPr>
                <w:lang w:val="pl-PL"/>
              </w:rPr>
            </w:pPr>
            <w:r>
              <w:rPr>
                <w:rFonts w:eastAsia="MS Mincho" w:cs="Arial"/>
                <w:kern w:val="0"/>
                <w:sz w:val="22"/>
                <w:szCs w:val="22"/>
                <w:lang w:val="pl-PL" w:eastAsia="en-US" w:bidi="ar-SA"/>
              </w:rPr>
              <w:t>Do 30.06.2027</w:t>
            </w:r>
          </w:p>
        </w:tc>
      </w:tr>
      <w:tr>
        <w:trPr/>
        <w:tc>
          <w:tcPr>
            <w:tcW w:w="2926" w:type="dxa"/>
            <w:vMerge w:val="restart"/>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Określenie położenia oraz istotnych cech domu lokalu mieszkalny będący przedmiotem umowy rezerwacyjnej albo umowy deweloperskiej lub jednej z umów, o których mowa a art. 2 ust 1 pkt 2,3 lub 5 ust. 2 ustawy z dnia 20 maja 2021 r. o ochronie praw nabywcy lokalu mieszkalnego lub domu jednorodzinnego oraz Deweloperskim funduszu Gwarancyjnym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Liczba kondygnacji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2</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Technologia wykonania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tradycyjna</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Standard prac wykończeniowych</w:t>
              <w:br/>
              <w:t xml:space="preserve">w części wspólnej budynku i terenie wokół niego, stanowiącym cześć́ wspólną̨ nieruchomości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Zgodnie z załącznikiem nr 1 </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Liczba lokali w budynku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2</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Liczba miejsc garażowych i postojowych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Dwa miejsca postojowe dla budynku </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Dostępne media w budynku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 xml:space="preserve">Gaz, prąd, woda, kanalizacja, światłowód </w:t>
            </w:r>
          </w:p>
        </w:tc>
      </w:tr>
      <w:tr>
        <w:trPr/>
        <w:tc>
          <w:tcPr>
            <w:tcW w:w="2926" w:type="dxa"/>
            <w:vMerge w:val="continue"/>
            <w:tcBorders/>
            <w:shd w:color="auto" w:fill="DBE5F1" w:themeFill="accent1" w:themeFillTint="33" w:val="clear"/>
          </w:tcPr>
          <w:p>
            <w:pPr>
              <w:pStyle w:val="Normal"/>
              <w:widowControl/>
              <w:suppressAutoHyphens w:val="true"/>
              <w:spacing w:lineRule="auto" w:line="240" w:before="0" w:after="0"/>
              <w:jc w:val="start"/>
              <w:rPr>
                <w:lang w:val="pl-PL"/>
              </w:rPr>
            </w:pPr>
            <w:r>
              <w:rPr>
                <w:rFonts w:eastAsia="" w:cs=""/>
                <w:kern w:val="0"/>
                <w:sz w:val="22"/>
                <w:szCs w:val="22"/>
                <w:lang w:val="pl-PL" w:eastAsia="en-US" w:bidi="ar-SA"/>
              </w:rPr>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 w:cs="" w:ascii="Helvetica" w:hAnsi="Helvetica" w:cstheme="minorBidi" w:eastAsiaTheme="minorEastAsia"/>
                <w:color w:themeColor="text1" w:val="000000"/>
                <w:kern w:val="0"/>
                <w:sz w:val="16"/>
                <w:szCs w:val="16"/>
                <w:lang w:bidi="ar-SA"/>
              </w:rPr>
              <w:t xml:space="preserve">Dostęp do drogi publicznej </w:t>
            </w:r>
          </w:p>
        </w:tc>
        <w:tc>
          <w:tcPr>
            <w:tcW w:w="2927" w:type="dxa"/>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Helvetica" w:cs="Helvetica" w:ascii="Helvetica" w:hAnsi="Helvetica"/>
                <w:color w:themeColor="text1" w:val="000000"/>
                <w:kern w:val="0"/>
                <w:sz w:val="16"/>
                <w:szCs w:val="16"/>
                <w:lang w:bidi="ar-SA"/>
              </w:rPr>
              <w:t>Przylega do drogi publicznej ul. Kamila Norwida</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Określenie usytuowania lokalu mieszkalnego w budynku, jeżeli przedsięwzięcie deweloperskie lub zadanie inwestycyjne dotyczy lokali mieszkalnych </w:t>
            </w:r>
          </w:p>
        </w:tc>
        <w:tc>
          <w:tcPr>
            <w:tcW w:w="5854" w:type="dxa"/>
            <w:gridSpan w:val="2"/>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Zgodnie z załącznikiem nr 3</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Określenie powierzchni użytkowej i układu pomieszczeń oraz zakresu i standardu prac wykończeniowych, do których wykonania zobowiązuje się deweloper </w:t>
            </w:r>
          </w:p>
        </w:tc>
        <w:tc>
          <w:tcPr>
            <w:tcW w:w="5854" w:type="dxa"/>
            <w:gridSpan w:val="2"/>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Zgodnie z załącznikami nr 1, 2</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Data wydania zaświadczenia o samodzielności lokalu mieszkalnego </w:t>
            </w:r>
          </w:p>
        </w:tc>
        <w:tc>
          <w:tcPr>
            <w:tcW w:w="5854" w:type="dxa"/>
            <w:gridSpan w:val="2"/>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eastAsia="Arial" w:cs="Arial"/>
                <w:color w:val="000000"/>
                <w:sz w:val="16"/>
                <w:szCs w:val="16"/>
              </w:rPr>
            </w:pPr>
            <w:r>
              <w:rPr>
                <w:rFonts w:eastAsia="Arial" w:cs="Arial" w:ascii="Helvetica" w:hAnsi="Helvetica"/>
                <w:color w:val="000000"/>
                <w:kern w:val="0"/>
                <w:sz w:val="16"/>
                <w:szCs w:val="16"/>
                <w:lang w:bidi="ar-SA"/>
              </w:rPr>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Do 30.06.2027</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23"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Data ustanowienia odrębnej własności lokalu mieszkalnego </w:t>
            </w:r>
          </w:p>
        </w:tc>
        <w:tc>
          <w:tcPr>
            <w:tcW w:w="5854" w:type="dxa"/>
            <w:gridSpan w:val="2"/>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eastAsia="Arial" w:cs="Arial"/>
                <w:color w:val="000000"/>
                <w:sz w:val="16"/>
                <w:szCs w:val="16"/>
              </w:rPr>
            </w:pPr>
            <w:r>
              <w:rPr>
                <w:rFonts w:eastAsia="Arial" w:cs="Arial" w:ascii="Helvetica" w:hAnsi="Helvetica"/>
                <w:color w:val="000000"/>
                <w:kern w:val="0"/>
                <w:sz w:val="16"/>
                <w:szCs w:val="16"/>
                <w:lang w:bidi="ar-SA"/>
              </w:rPr>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Do 30.06.2027</w:t>
            </w:r>
          </w:p>
        </w:tc>
      </w:tr>
      <w:tr>
        <w:trPr/>
        <w:tc>
          <w:tcPr>
            <w:tcW w:w="2926" w:type="dxa"/>
            <w:tcBorders/>
            <w:shd w:color="auto" w:fill="DBE5F1" w:themeFill="accent1" w:themeFillTint="33" w:val="clear"/>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Informacje o lokalu użytkowym nabywanym równocześnie</w:t>
              <w:br/>
              <w:t xml:space="preserve">z lokalem mieszkalnym albo domem jednorodzinnym </w:t>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 xml:space="preserve">Cena lokalu użytkowego albo ułamkowej części własności lokalu użytkowego </w:t>
            </w:r>
          </w:p>
        </w:tc>
        <w:tc>
          <w:tcPr>
            <w:tcW w:w="5854" w:type="dxa"/>
            <w:gridSpan w:val="2"/>
            <w:tcBorders/>
          </w:tcPr>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eastAsia="Arial" w:cs="Arial"/>
                <w:color w:val="000000"/>
                <w:sz w:val="16"/>
                <w:szCs w:val="16"/>
              </w:rPr>
            </w:pPr>
            <w:r>
              <w:rPr>
                <w:rFonts w:eastAsia="Arial" w:cs="Arial" w:ascii="Helvetica" w:hAnsi="Helvetica"/>
                <w:color w:val="000000"/>
                <w:kern w:val="0"/>
                <w:sz w:val="16"/>
                <w:szCs w:val="16"/>
                <w:lang w:bidi="ar-SA"/>
              </w:rPr>
            </w:r>
          </w:p>
          <w:p>
            <w:pPr>
              <w:pStyle w:val="NormalWeb"/>
              <w:widowControl/>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uppressAutoHyphens w:val="true"/>
              <w:spacing w:lineRule="auto" w:line="209" w:beforeAutospacing="0" w:before="0" w:afterAutospacing="0" w:after="0"/>
              <w:jc w:val="start"/>
              <w:rPr>
                <w:rFonts w:ascii="Helvetica" w:hAnsi="Helvetica" w:cs="Arial"/>
                <w:sz w:val="16"/>
                <w:szCs w:val="16"/>
              </w:rPr>
            </w:pPr>
            <w:r>
              <w:rPr>
                <w:rFonts w:eastAsia="Arial" w:cs="Arial" w:ascii="Helvetica" w:hAnsi="Helvetica"/>
                <w:color w:val="000000"/>
                <w:kern w:val="0"/>
                <w:sz w:val="16"/>
                <w:szCs w:val="16"/>
                <w:lang w:bidi="ar-SA"/>
              </w:rPr>
              <w:t>Nie dotyczy</w:t>
            </w:r>
          </w:p>
        </w:tc>
      </w:tr>
      <w:tr>
        <w:trPr/>
        <w:tc>
          <w:tcPr>
            <w:tcW w:w="2926"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Cena lokalu użytkowego albo ułamkowej części własności lokalu użytkowego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854"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 Dotyczy</w:t>
            </w:r>
          </w:p>
        </w:tc>
      </w:tr>
      <w:tr>
        <w:trPr/>
        <w:tc>
          <w:tcPr>
            <w:tcW w:w="2926"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 xml:space="preserve">Termin, do którego nastąpi przeniesienie prawa własności lokalu użytkowego albo ułamkowej części własności lokalu użytkowe </w:t>
            </w:r>
          </w:p>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tc>
        <w:tc>
          <w:tcPr>
            <w:tcW w:w="5854" w:type="dxa"/>
            <w:gridSpan w:val="2"/>
            <w:tcBorders/>
          </w:tcPr>
          <w:p>
            <w:pPr>
              <w:pStyle w:val="Normal"/>
              <w:widowControl/>
              <w:suppressAutoHyphens w:val="true"/>
              <w:spacing w:lineRule="auto" w:line="240" w:before="0" w:after="0"/>
              <w:jc w:val="start"/>
              <w:rPr>
                <w:rFonts w:ascii="Helvetica" w:hAnsi="Helvetica" w:hint="eastAsia"/>
                <w:sz w:val="16"/>
                <w:szCs w:val="16"/>
                <w:lang w:val="pl-PL"/>
              </w:rPr>
            </w:pPr>
            <w:r>
              <w:rPr>
                <w:rFonts w:eastAsia="" w:cs="" w:hint="eastAsia" w:ascii="Helvetica" w:hAnsi="Helvetica"/>
                <w:kern w:val="0"/>
                <w:sz w:val="16"/>
                <w:szCs w:val="16"/>
                <w:lang w:val="pl-PL" w:eastAsia="en-US" w:bidi="ar-SA"/>
              </w:rPr>
            </w:r>
          </w:p>
          <w:p>
            <w:pPr>
              <w:pStyle w:val="Normal"/>
              <w:widowControl/>
              <w:suppressAutoHyphens w:val="true"/>
              <w:spacing w:lineRule="auto" w:line="240" w:before="0" w:after="0"/>
              <w:jc w:val="start"/>
              <w:rPr>
                <w:rFonts w:ascii="Helvetica" w:hAnsi="Helvetica" w:hint="eastAsia"/>
                <w:sz w:val="16"/>
                <w:szCs w:val="16"/>
                <w:lang w:val="pl-PL"/>
              </w:rPr>
            </w:pPr>
            <w:r>
              <w:rPr>
                <w:rFonts w:eastAsia="MS Mincho" w:cs="Arial" w:ascii="Helvetica" w:hAnsi="Helvetica"/>
                <w:kern w:val="0"/>
                <w:sz w:val="16"/>
                <w:szCs w:val="16"/>
                <w:lang w:val="pl-PL" w:eastAsia="en-US" w:bidi="ar-SA"/>
              </w:rPr>
              <w:t>Nie Dotyczy</w:t>
            </w:r>
          </w:p>
        </w:tc>
      </w:tr>
    </w:tbl>
    <w:p>
      <w:pPr>
        <w:pStyle w:val="Normal"/>
        <w:rPr>
          <w:lang w:val="pl-PL"/>
        </w:rPr>
      </w:pPr>
      <w:r>
        <w:rPr>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mc:AlternateContent>
          <mc:Choice Requires="wps">
            <w:drawing>
              <wp:anchor behindDoc="0" distT="0" distB="0" distL="0" distR="0" simplePos="0" locked="0" layoutInCell="1" allowOverlap="1" relativeHeight="3" wp14:anchorId="2C5E8901">
                <wp:simplePos x="0" y="0"/>
                <wp:positionH relativeFrom="column">
                  <wp:posOffset>2669540</wp:posOffset>
                </wp:positionH>
                <wp:positionV relativeFrom="paragraph">
                  <wp:posOffset>86995</wp:posOffset>
                </wp:positionV>
                <wp:extent cx="3165475" cy="1165860"/>
                <wp:effectExtent l="0" t="0" r="0" b="0"/>
                <wp:wrapNone/>
                <wp:docPr id="2" name="Text Box 8"/>
                <a:graphic xmlns:a="http://schemas.openxmlformats.org/drawingml/2006/main">
                  <a:graphicData uri="http://schemas.microsoft.com/office/word/2010/wordprocessingShape">
                    <wps:wsp>
                      <wps:cNvSpPr/>
                      <wps:spPr>
                        <a:xfrm>
                          <a:off x="0" y="0"/>
                          <a:ext cx="3165480" cy="1166040"/>
                        </a:xfrm>
                        <a:prstGeom prst="rect">
                          <a:avLst/>
                        </a:prstGeom>
                        <a:noFill/>
                        <a:ln w="12700">
                          <a:noFill/>
                        </a:ln>
                      </wps:spPr>
                      <wps:style>
                        <a:lnRef idx="0"/>
                        <a:fillRef idx="0"/>
                        <a:effectRef idx="0"/>
                        <a:fontRef idx="minor"/>
                      </wps:style>
                      <wps:txbx>
                        <w:txbxContent>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ascii="Helvetica" w:hAnsi="Helvetica" w:cstheme="majorBidi" w:eastAsiaTheme="majorEastAsia"/>
                                <w:b/>
                                <w:bCs/>
                                <w:color w:val="1A171B"/>
                                <w:sz w:val="16"/>
                                <w:szCs w:val="16"/>
                                <w:lang w:val="pl-PL"/>
                              </w:rPr>
                              <w:t>Podpis dewelopera albo osoby uprawnionej</w:t>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ascii="Helvetica" w:hAnsi="Helvetica" w:cstheme="majorBidi" w:eastAsiaTheme="majorEastAsia"/>
                                <w:b/>
                                <w:bCs/>
                                <w:color w:val="1A171B"/>
                                <w:sz w:val="16"/>
                                <w:szCs w:val="16"/>
                                <w:lang w:val="pl-PL"/>
                              </w:rPr>
                              <w:t>do jego reprezentacji oraz pieczęć firmowa</w:t>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cstheme="majorBidi" w:eastAsiaTheme="majorEastAsia" w:hint="eastAsia" w:ascii="Helvetica" w:hAnsi="Helvetica"/>
                                <w:b/>
                                <w:bCs/>
                                <w:color w:val="1A171B"/>
                                <w:sz w:val="16"/>
                                <w:szCs w:val="16"/>
                                <w:lang w:val="pl-PL"/>
                              </w:rPr>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cstheme="majorBidi" w:eastAsiaTheme="majorEastAsia" w:hint="eastAsia" w:ascii="Helvetica" w:hAnsi="Helvetica"/>
                                <w:b/>
                                <w:bCs/>
                                <w:color w:val="1A171B"/>
                                <w:sz w:val="16"/>
                                <w:szCs w:val="16"/>
                                <w:lang w:val="pl-PL"/>
                              </w:rPr>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pacing w:before="0" w:after="200"/>
                              <w:jc w:val="end"/>
                              <w:rPr>
                                <w:rFonts w:ascii="Calibri" w:hAnsi="Calibri" w:eastAsia="" w:cs="" w:asciiTheme="majorHAnsi" w:cstheme="majorBidi" w:eastAsiaTheme="majorEastAsia"/>
                                <w:b/>
                                <w:bCs/>
                                <w:color w:val="1A171B"/>
                                <w:sz w:val="20"/>
                                <w:szCs w:val="20"/>
                              </w:rPr>
                            </w:pPr>
                            <w:r>
                              <w:rPr>
                                <w:rFonts w:eastAsia="" w:cs="" w:ascii="Helvetica" w:hAnsi="Helvetica" w:cstheme="majorBidi" w:eastAsiaTheme="majorEastAsia"/>
                                <w:b/>
                                <w:bCs/>
                                <w:color w:val="1A171B"/>
                                <w:sz w:val="16"/>
                                <w:szCs w:val="16"/>
                              </w:rPr>
                              <w:t>....................................................................................</w:t>
                            </w:r>
                          </w:p>
                        </w:txbxContent>
                      </wps:txbx>
                      <wps:bodyPr lIns="45000" rIns="45000" tIns="45000" bIns="45000" anchor="t">
                        <a:spAutoFit/>
                      </wps:bodyPr>
                    </wps:wsp>
                  </a:graphicData>
                </a:graphic>
              </wp:anchor>
            </w:drawing>
          </mc:Choice>
          <mc:Fallback>
            <w:pict>
              <v:rect id="shape_0" ID="Text Box 8" path="m0,0l-2147483645,0l-2147483645,-2147483646l0,-2147483646xe" stroked="f" o:allowincell="f" style="position:absolute;margin-left:210.2pt;margin-top:6.85pt;width:249.2pt;height:91.75pt;mso-wrap-style:square;v-text-anchor:top" wp14:anchorId="2C5E8901">
                <v:fill o:detectmouseclick="t" on="false"/>
                <v:stroke color="#3465a4" weight="12600" joinstyle="round" endcap="flat"/>
                <v:textbox>
                  <w:txbxContent>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ascii="Helvetica" w:hAnsi="Helvetica" w:cstheme="majorBidi" w:eastAsiaTheme="majorEastAsia"/>
                          <w:b/>
                          <w:bCs/>
                          <w:color w:val="1A171B"/>
                          <w:sz w:val="16"/>
                          <w:szCs w:val="16"/>
                          <w:lang w:val="pl-PL"/>
                        </w:rPr>
                        <w:t>Podpis dewelopera albo osoby uprawnionej</w:t>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ascii="Helvetica" w:hAnsi="Helvetica" w:cstheme="majorBidi" w:eastAsiaTheme="majorEastAsia"/>
                          <w:b/>
                          <w:bCs/>
                          <w:color w:val="1A171B"/>
                          <w:sz w:val="16"/>
                          <w:szCs w:val="16"/>
                          <w:lang w:val="pl-PL"/>
                        </w:rPr>
                        <w:t>do jego reprezentacji oraz pieczęć firmowa</w:t>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cstheme="majorBidi" w:eastAsiaTheme="majorEastAsia" w:hint="eastAsia" w:ascii="Helvetica" w:hAnsi="Helvetica"/>
                          <w:b/>
                          <w:bCs/>
                          <w:color w:val="1A171B"/>
                          <w:sz w:val="16"/>
                          <w:szCs w:val="16"/>
                          <w:lang w:val="pl-PL"/>
                        </w:rPr>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jc w:val="end"/>
                        <w:rPr>
                          <w:rFonts w:ascii="Helvetica" w:hAnsi="Helvetica" w:eastAsia="" w:cs="" w:cstheme="majorBidi" w:eastAsiaTheme="majorEastAsia" w:hint="eastAsia"/>
                          <w:b/>
                          <w:bCs/>
                          <w:color w:val="1A171B"/>
                          <w:sz w:val="16"/>
                          <w:szCs w:val="16"/>
                          <w:lang w:val="pl-PL"/>
                        </w:rPr>
                      </w:pPr>
                      <w:r>
                        <w:rPr>
                          <w:rFonts w:eastAsia="" w:cs="" w:cstheme="majorBidi" w:eastAsiaTheme="majorEastAsia" w:hint="eastAsia" w:ascii="Helvetica" w:hAnsi="Helvetica"/>
                          <w:b/>
                          <w:bCs/>
                          <w:color w:val="1A171B"/>
                          <w:sz w:val="16"/>
                          <w:szCs w:val="16"/>
                          <w:lang w:val="pl-PL"/>
                        </w:rPr>
                      </w:r>
                    </w:p>
                    <w:p>
                      <w:pPr>
                        <w:pStyle w:val="Zawartoramki"/>
                        <w:tabs>
                          <w:tab w:val="clear" w:pos="720"/>
                          <w:tab w:val="left" w:pos="700" w:leader="none"/>
                          <w:tab w:val="left" w:pos="1400" w:leader="none"/>
                          <w:tab w:val="left" w:pos="2120" w:leader="none"/>
                          <w:tab w:val="left" w:pos="2820" w:leader="none"/>
                          <w:tab w:val="left" w:pos="3520" w:leader="none"/>
                          <w:tab w:val="left" w:pos="4240" w:leader="none"/>
                          <w:tab w:val="left" w:pos="4940" w:leader="none"/>
                          <w:tab w:val="left" w:pos="5640" w:leader="none"/>
                          <w:tab w:val="left" w:pos="6360" w:leader="none"/>
                          <w:tab w:val="left" w:pos="7060" w:leader="none"/>
                          <w:tab w:val="left" w:pos="7780" w:leader="none"/>
                          <w:tab w:val="left" w:pos="8480" w:leader="none"/>
                          <w:tab w:val="left" w:pos="9180" w:leader="none"/>
                          <w:tab w:val="left" w:pos="9900" w:leader="none"/>
                          <w:tab w:val="left" w:pos="10600" w:leader="none"/>
                          <w:tab w:val="left" w:pos="11300" w:leader="none"/>
                          <w:tab w:val="left" w:pos="12020" w:leader="none"/>
                          <w:tab w:val="left" w:pos="12720" w:leader="none"/>
                          <w:tab w:val="left" w:pos="13440" w:leader="none"/>
                          <w:tab w:val="left" w:pos="14140" w:leader="none"/>
                        </w:tabs>
                        <w:spacing w:before="0" w:after="200"/>
                        <w:jc w:val="end"/>
                        <w:rPr>
                          <w:rFonts w:ascii="Calibri" w:hAnsi="Calibri" w:eastAsia="" w:cs="" w:asciiTheme="majorHAnsi" w:cstheme="majorBidi" w:eastAsiaTheme="majorEastAsia"/>
                          <w:b/>
                          <w:bCs/>
                          <w:color w:val="1A171B"/>
                          <w:sz w:val="20"/>
                          <w:szCs w:val="20"/>
                        </w:rPr>
                      </w:pPr>
                      <w:r>
                        <w:rPr>
                          <w:rFonts w:eastAsia="" w:cs="" w:ascii="Helvetica" w:hAnsi="Helvetica" w:cstheme="majorBidi" w:eastAsiaTheme="majorEastAsia"/>
                          <w:b/>
                          <w:bCs/>
                          <w:color w:val="1A171B"/>
                          <w:sz w:val="16"/>
                          <w:szCs w:val="16"/>
                        </w:rPr>
                        <w:t>....................................................................................</w:t>
                      </w:r>
                    </w:p>
                  </w:txbxContent>
                </v:textbox>
                <w10:wrap type="none"/>
              </v:rect>
            </w:pict>
          </mc:Fallback>
        </mc:AlternateContent>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
          <w:bCs/>
          <w:sz w:val="16"/>
          <w:szCs w:val="16"/>
          <w:lang w:val="pl-PL"/>
        </w:rPr>
      </w:pPr>
      <w:r>
        <w:rPr>
          <w:rFonts w:hint="eastAsia" w:ascii="Helvetica" w:hAnsi="Helvetica"/>
          <w:b/>
          <w:bCs/>
          <w:sz w:val="16"/>
          <w:szCs w:val="16"/>
          <w:lang w:val="pl-PL"/>
        </w:rPr>
      </w:r>
    </w:p>
    <w:p>
      <w:pPr>
        <w:pStyle w:val="Normal"/>
        <w:rPr>
          <w:rFonts w:ascii="Helvetica" w:hAnsi="Helvetica" w:hint="eastAsia"/>
          <w:bCs/>
          <w:sz w:val="16"/>
          <w:szCs w:val="16"/>
          <w:lang w:val="pl-PL"/>
        </w:rPr>
      </w:pPr>
      <w:r>
        <w:rPr>
          <w:rFonts w:ascii="Helvetica" w:hAnsi="Helvetica"/>
          <w:bCs/>
          <w:sz w:val="16"/>
          <w:szCs w:val="16"/>
          <w:lang w:val="pl-PL"/>
        </w:rPr>
        <w:t>Załącznik nr 1</w:t>
      </w:r>
    </w:p>
    <w:p>
      <w:pPr>
        <w:pStyle w:val="Normal"/>
        <w:jc w:val="center"/>
        <w:rPr>
          <w:b/>
          <w:bCs/>
          <w:sz w:val="20"/>
          <w:szCs w:val="20"/>
        </w:rPr>
      </w:pPr>
      <w:r>
        <w:rPr>
          <w:b/>
          <w:bCs/>
          <w:sz w:val="20"/>
          <w:szCs w:val="20"/>
        </w:rPr>
        <w:t>${realestate_plan}</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rFonts w:ascii="Helv" w:hAnsi="Helv" w:hint="eastAsia"/>
          <w:bCs/>
          <w:sz w:val="16"/>
          <w:szCs w:val="16"/>
        </w:rPr>
      </w:pPr>
      <w:r>
        <w:rPr>
          <w:rFonts w:ascii="Helv" w:hAnsi="Helv"/>
          <w:bCs/>
          <w:sz w:val="16"/>
          <w:szCs w:val="16"/>
        </w:rPr>
        <w:t>Załącznik nr 2</w:t>
      </w:r>
    </w:p>
    <w:tbl>
      <w:tblPr>
        <w:tblStyle w:val="Tabela-Siatka"/>
        <w:tblpPr w:vertAnchor="text" w:horzAnchor="margin" w:leftFromText="141" w:rightFromText="141" w:tblpX="0" w:tblpY="121"/>
        <w:tblW w:w="8780" w:type="dxa"/>
        <w:jc w:val="start"/>
        <w:tblInd w:w="-5" w:type="dxa"/>
        <w:tblLayout w:type="fixed"/>
        <w:tblCellMar>
          <w:top w:w="0" w:type="dxa"/>
          <w:start w:w="108" w:type="dxa"/>
          <w:bottom w:w="0" w:type="dxa"/>
          <w:end w:w="108" w:type="dxa"/>
        </w:tblCellMar>
        <w:tblLook w:val="04a0" w:noVBand="1" w:noHBand="0" w:lastColumn="0" w:firstColumn="1" w:lastRow="0" w:firstRow="1"/>
      </w:tblPr>
      <w:tblGrid>
        <w:gridCol w:w="4390"/>
        <w:gridCol w:w="4390"/>
      </w:tblGrid>
      <w:tr>
        <w:trPr/>
        <w:tc>
          <w:tcPr>
            <w:tcW w:w="8780" w:type="dxa"/>
            <w:gridSpan w:val="2"/>
            <w:tcBorders/>
            <w:shd w:color="auto" w:fill="4F81BD" w:themeFill="accent1" w:val="clear"/>
          </w:tcPr>
          <w:p>
            <w:pPr>
              <w:pStyle w:val="Normal"/>
              <w:widowControl/>
              <w:suppressAutoHyphens w:val="true"/>
              <w:spacing w:lineRule="auto" w:line="240" w:before="0" w:after="0"/>
              <w:jc w:val="center"/>
              <w:rPr>
                <w:rFonts w:ascii="Helvetica" w:hAnsi="Helvetica" w:hint="eastAsia"/>
                <w:sz w:val="18"/>
                <w:szCs w:val="18"/>
                <w:lang w:val="pl-PL"/>
              </w:rPr>
            </w:pPr>
            <w:r>
              <w:rPr>
                <w:rFonts w:eastAsia="MS Mincho" w:cs="Arial" w:ascii="Helvetica" w:hAnsi="Helvetica"/>
                <w:b/>
                <w:bCs/>
                <w:kern w:val="0"/>
                <w:sz w:val="18"/>
                <w:szCs w:val="18"/>
                <w:lang w:val="pl-PL" w:eastAsia="en-US" w:bidi="ar-SA"/>
              </w:rPr>
              <w:t>STANDARD WYKOŃCZENIA I WYPOSAŻENIA DOMU</w:t>
            </w:r>
          </w:p>
          <w:p>
            <w:pPr>
              <w:pStyle w:val="Normal"/>
              <w:widowControl/>
              <w:suppressAutoHyphens w:val="true"/>
              <w:spacing w:lineRule="auto" w:line="240" w:before="0" w:after="0"/>
              <w:jc w:val="start"/>
              <w:rPr>
                <w:sz w:val="18"/>
                <w:szCs w:val="18"/>
                <w:lang w:val="pl-PL"/>
              </w:rPr>
            </w:pPr>
            <w:r>
              <w:rPr>
                <w:rFonts w:eastAsia="" w:cs=""/>
                <w:kern w:val="0"/>
                <w:sz w:val="18"/>
                <w:szCs w:val="18"/>
                <w:lang w:val="pl-PL" w:eastAsia="en-US" w:bidi="ar-SA"/>
              </w:rPr>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Konstrukcja budynku</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budynek posadowiony na –płycie fundamentowej  ocieplonej płytami XPS grubość 20 cm</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-ściany konstrukcyjne zewnętrzne i wewnętrzne wykonane z bloczków ceramicznych (25cm i 18cm)</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Strop</w:t>
            </w:r>
          </w:p>
        </w:tc>
        <w:tc>
          <w:tcPr>
            <w:tcW w:w="4390" w:type="dxa"/>
            <w:tcBorders/>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monolityczny</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Dach</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Styropian grubość podstawowa 24cm EPS 100 + kliny spadkowe również z EPS 100</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Membrana PVC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Obróbki attyki z blachy powlekanje z PVC</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Wyłaz dachowy</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Stolarka</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Okna PCV trzyszybowe</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Drzwi Wejściowe Stalowe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Brama Garażowa wraz z automatyk i pilotem</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Elewacja budynku</w:t>
            </w:r>
          </w:p>
        </w:tc>
        <w:tc>
          <w:tcPr>
            <w:tcW w:w="4390" w:type="dxa"/>
            <w:tcBorders/>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Ocieplene płyta styropian grubość 20 cm lambda 0,38</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Tynk silikonowy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Tynk dekoracyjny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Lamele z deski kompozytowej </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Instalacje</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Piec gazowy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Instalacja fotowoltaiczna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Rekuperator (wentylacja mechaniczna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Instalacja C.W.U</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Instalacja elektryczna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Instalacja ogrzewania podłogowego (C.O)</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 xml:space="preserve">Tynki wewnętrzne </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Tynki gipsowe maszynowe </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Karton gips</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podłogi</w:t>
            </w:r>
          </w:p>
        </w:tc>
        <w:tc>
          <w:tcPr>
            <w:tcW w:w="4390" w:type="dxa"/>
            <w:tcBorders/>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 xml:space="preserve">Wylewka cementowo piaskowa </w:t>
            </w:r>
          </w:p>
        </w:tc>
      </w:tr>
      <w:tr>
        <w:trPr/>
        <w:tc>
          <w:tcPr>
            <w:tcW w:w="4390" w:type="dxa"/>
            <w:tcBorders/>
            <w:shd w:color="auto" w:fill="DBE5F1" w:themeFill="accent1" w:themeFillTint="33" w:val="clear"/>
          </w:tcPr>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ogrodzenie</w:t>
            </w:r>
          </w:p>
        </w:tc>
        <w:tc>
          <w:tcPr>
            <w:tcW w:w="4390" w:type="dxa"/>
            <w:tcBorders/>
          </w:tcPr>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Panele ogrodzeniowe ocynkowane</w:t>
            </w:r>
          </w:p>
          <w:p>
            <w:pPr>
              <w:pStyle w:val="Normal"/>
              <w:widowControl/>
              <w:suppressAutoHyphens w:val="true"/>
              <w:spacing w:lineRule="auto" w:line="240" w:before="0" w:after="0"/>
              <w:jc w:val="start"/>
              <w:rPr>
                <w:rFonts w:ascii="Helvetica" w:hAnsi="Helvetica" w:hint="eastAsia"/>
                <w:sz w:val="18"/>
                <w:szCs w:val="18"/>
                <w:lang w:val="pl-PL"/>
              </w:rPr>
            </w:pPr>
            <w:r>
              <w:rPr>
                <w:rFonts w:eastAsia="MS Mincho" w:cs="Arial" w:ascii="Helvetica" w:hAnsi="Helvetica"/>
                <w:kern w:val="0"/>
                <w:sz w:val="18"/>
                <w:szCs w:val="18"/>
                <w:lang w:val="pl-PL" w:eastAsia="en-US" w:bidi="ar-SA"/>
              </w:rPr>
              <w:t xml:space="preserve">Brama wjazdowa na osiedle </w:t>
            </w:r>
          </w:p>
          <w:p>
            <w:pPr>
              <w:pStyle w:val="Normal"/>
              <w:widowControl/>
              <w:suppressAutoHyphens w:val="true"/>
              <w:spacing w:lineRule="auto" w:line="240" w:before="0" w:after="0"/>
              <w:jc w:val="start"/>
              <w:rPr>
                <w:rFonts w:ascii="Helvetica" w:hAnsi="Helvetica" w:hint="eastAsia"/>
                <w:sz w:val="18"/>
                <w:szCs w:val="18"/>
              </w:rPr>
            </w:pPr>
            <w:r>
              <w:rPr>
                <w:rFonts w:eastAsia="MS Mincho" w:cs="Arial" w:ascii="Helvetica" w:hAnsi="Helvetica"/>
                <w:kern w:val="0"/>
                <w:sz w:val="18"/>
                <w:szCs w:val="18"/>
                <w:lang w:val="en-US" w:eastAsia="en-US" w:bidi="ar-SA"/>
              </w:rPr>
              <w:t xml:space="preserve">Furtka wejściowa na osiedle </w:t>
            </w:r>
          </w:p>
        </w:tc>
      </w:tr>
    </w:tbl>
    <w:p>
      <w:pPr>
        <w:pStyle w:val="Normal"/>
        <w:rPr>
          <w:sz w:val="18"/>
          <w:szCs w:val="18"/>
          <w:lang w:val="pl-PL"/>
        </w:rPr>
      </w:pPr>
      <w:r>
        <w:rPr>
          <w:sz w:val="18"/>
          <w:szCs w:val="18"/>
          <w:lang w:val="pl-PL"/>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spacing w:before="0" w:after="200"/>
        <w:rPr/>
      </w:pPr>
      <w:r>
        <w:drawing>
          <wp:anchor behindDoc="0" distT="0" distB="0" distL="114300" distR="114300" simplePos="0" locked="0" layoutInCell="0" allowOverlap="1" relativeHeight="6">
            <wp:simplePos x="0" y="0"/>
            <wp:positionH relativeFrom="margin">
              <wp:posOffset>555625</wp:posOffset>
            </wp:positionH>
            <wp:positionV relativeFrom="margin">
              <wp:posOffset>213360</wp:posOffset>
            </wp:positionV>
            <wp:extent cx="4877435" cy="8075930"/>
            <wp:effectExtent l="0" t="0" r="0" b="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8"/>
                    <a:stretch>
                      <a:fillRect/>
                    </a:stretch>
                  </pic:blipFill>
                  <pic:spPr bwMode="auto">
                    <a:xfrm>
                      <a:off x="0" y="0"/>
                      <a:ext cx="4877435" cy="8075930"/>
                    </a:xfrm>
                    <a:prstGeom prst="rect">
                      <a:avLst/>
                    </a:prstGeom>
                    <a:noFill/>
                  </pic:spPr>
                </pic:pic>
              </a:graphicData>
            </a:graphic>
          </wp:anchor>
        </w:drawing>
      </w:r>
      <w:r>
        <w:rPr/>
        <w:t>Załącznk nr 3</w:t>
      </w:r>
    </w:p>
    <w:p>
      <w:pPr>
        <w:pStyle w:val="Normal"/>
        <w:rPr/>
      </w:pPr>
      <w:r>
        <w:rPr/>
      </w:r>
    </w:p>
    <w:tbl>
      <w:tblPr>
        <w:tblpPr w:vertAnchor="page" w:horzAnchor="margin" w:tblpXSpec="center" w:leftFromText="141" w:rightFromText="141" w:tblpY="2917"/>
        <w:tblW w:w="10720" w:type="dxa"/>
        <w:jc w:val="center"/>
        <w:tblInd w:w="0" w:type="dxa"/>
        <w:tblLayout w:type="fixed"/>
        <w:tblCellMar>
          <w:top w:w="15" w:type="dxa"/>
          <w:start w:w="15" w:type="dxa"/>
          <w:bottom w:w="0" w:type="dxa"/>
          <w:end w:w="15" w:type="dxa"/>
        </w:tblCellMar>
        <w:tblLook w:val="0600" w:noVBand="1" w:noHBand="1" w:lastColumn="0" w:firstColumn="0" w:lastRow="0" w:firstRow="0"/>
      </w:tblPr>
      <w:tblGrid>
        <w:gridCol w:w="1019"/>
        <w:gridCol w:w="5688"/>
        <w:gridCol w:w="864"/>
        <w:gridCol w:w="1205"/>
        <w:gridCol w:w="1944"/>
      </w:tblGrid>
      <w:tr>
        <w:trPr>
          <w:trHeight w:val="854" w:hRule="atLeast"/>
        </w:trPr>
        <w:tc>
          <w:tcPr>
            <w:tcW w:w="1019" w:type="dxa"/>
            <w:tcBorders>
              <w:top w:val="single" w:sz="8" w:space="0" w:color="000000"/>
              <w:start w:val="single" w:sz="8" w:space="0" w:color="000000"/>
              <w:bottom w:val="single" w:sz="8" w:space="0" w:color="000000"/>
              <w:end w:val="single" w:sz="8" w:space="0" w:color="000000"/>
            </w:tcBorders>
            <w:shd w:color="auto" w:fill="4F81BD" w:themeFill="accent1"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ETAP</w:t>
            </w:r>
          </w:p>
        </w:tc>
        <w:tc>
          <w:tcPr>
            <w:tcW w:w="6552" w:type="dxa"/>
            <w:gridSpan w:val="2"/>
            <w:tcBorders>
              <w:top w:val="single" w:sz="8" w:space="0" w:color="000000"/>
              <w:start w:val="single" w:sz="8" w:space="0" w:color="000000"/>
              <w:bottom w:val="single" w:sz="8" w:space="0" w:color="000000"/>
              <w:end w:val="single" w:sz="8" w:space="0" w:color="000000"/>
            </w:tcBorders>
            <w:shd w:color="auto" w:fill="4F81BD" w:themeFill="accent1"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ZAKRES</w:t>
            </w:r>
          </w:p>
        </w:tc>
        <w:tc>
          <w:tcPr>
            <w:tcW w:w="1205" w:type="dxa"/>
            <w:tcBorders>
              <w:top w:val="single" w:sz="8" w:space="0" w:color="000000"/>
              <w:start w:val="single" w:sz="8" w:space="0" w:color="000000"/>
              <w:bottom w:val="single" w:sz="8" w:space="0" w:color="000000"/>
              <w:end w:val="single" w:sz="8" w:space="0" w:color="000000"/>
            </w:tcBorders>
            <w:shd w:color="auto" w:fill="4F81BD" w:themeFill="accent1"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PROCENTOWY UDZIAŁ W OPMR</w:t>
            </w:r>
          </w:p>
        </w:tc>
        <w:tc>
          <w:tcPr>
            <w:tcW w:w="1944" w:type="dxa"/>
            <w:tcBorders>
              <w:top w:val="single" w:sz="8" w:space="0" w:color="000000"/>
              <w:start w:val="single" w:sz="8" w:space="0" w:color="000000"/>
              <w:bottom w:val="single" w:sz="8" w:space="0" w:color="000000"/>
              <w:end w:val="single" w:sz="8" w:space="0" w:color="000000"/>
            </w:tcBorders>
            <w:shd w:color="auto" w:fill="4F81BD" w:themeFill="accent1"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PLANOWANY TERMIN ZAKOŃCZENIA ETAPU</w:t>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I</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wykopów pod płyty fundamentowe</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10%</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30.03.2026</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podbudowy pod płyty fundamentowe</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 xml:space="preserve"> </w:t>
            </w:r>
            <w:r>
              <w:rPr>
                <w:rFonts w:ascii="Helvetica" w:hAnsi="Helvetica"/>
                <w:sz w:val="16"/>
                <w:szCs w:val="16"/>
                <w:lang w:val="pl-PL"/>
              </w:rPr>
              <w:t xml:space="preserve">II </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podbudowy pod płyty fundamentowe</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20%</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30.04.2026</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Stan „zero”</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III</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Stan „zero”</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20%</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30.05.2026</w:t>
            </w:r>
          </w:p>
        </w:tc>
      </w:tr>
      <w:tr>
        <w:trPr>
          <w:trHeight w:val="332"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stanu surowego otwartego</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IV</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stanu surowego otwartego</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75%</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15%</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30.07.2026</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stanu surowego zamkniętego bez bram garażowych</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instalacji elektrycznej bez osprzętu</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V</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stanu surowego zamkniętego bez bram garażowych</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15%</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30.09.2026</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instalacji elektrycznej bez osprzętu</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50%</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 xml:space="preserve">Wykonanie instalacji wod.-kan. i c. o. bez osprzętu </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25%</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VI</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instalacji elektrycznej bez osprzętu</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10%</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30.12.2026</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robót wykończeniowych wewnętrznych</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r>
      <w:tr>
        <w:trPr>
          <w:trHeight w:val="291" w:hRule="atLeast"/>
        </w:trPr>
        <w:tc>
          <w:tcPr>
            <w:tcW w:w="1019"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VII</w:t>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Wykonanie robót zewnętrznych i elewacji</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100%</w:t>
            </w:r>
          </w:p>
        </w:tc>
        <w:tc>
          <w:tcPr>
            <w:tcW w:w="1205"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10%</w:t>
            </w:r>
          </w:p>
        </w:tc>
        <w:tc>
          <w:tcPr>
            <w:tcW w:w="1944" w:type="dxa"/>
            <w:vMerge w:val="restart"/>
            <w:tcBorders>
              <w:top w:val="single" w:sz="8" w:space="0" w:color="000000"/>
              <w:start w:val="single" w:sz="8" w:space="0" w:color="000000"/>
              <w:bottom w:val="single" w:sz="8" w:space="0" w:color="000000"/>
              <w:end w:val="single" w:sz="8" w:space="0" w:color="000000"/>
            </w:tcBorders>
            <w:shd w:color="auto" w:fill="auto" w:val="clear"/>
            <w:vAlign w:val="center"/>
          </w:tcPr>
          <w:p>
            <w:pPr>
              <w:pStyle w:val="Normal"/>
              <w:spacing w:before="0" w:after="200"/>
              <w:rPr>
                <w:rFonts w:ascii="Helvetica" w:hAnsi="Helvetica" w:hint="eastAsia"/>
                <w:sz w:val="16"/>
                <w:szCs w:val="16"/>
                <w:lang w:val="pl-PL"/>
              </w:rPr>
            </w:pPr>
            <w:r>
              <w:rPr>
                <w:rFonts w:ascii="Helvetica" w:hAnsi="Helvetica"/>
                <w:sz w:val="16"/>
                <w:szCs w:val="16"/>
                <w:lang w:val="pl-PL"/>
              </w:rPr>
              <w:t>30.03.2027</w:t>
            </w:r>
          </w:p>
        </w:tc>
      </w:tr>
      <w:tr>
        <w:trPr>
          <w:trHeight w:val="291"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Montaż osprzętu wewnątrz budynków</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lang w:val="pl-PL"/>
              </w:rPr>
            </w:pPr>
            <w:r>
              <w:rPr>
                <w:lang w:val="pl-PL"/>
              </w:rPr>
              <w:t>100%</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r>
      <w:tr>
        <w:trPr>
          <w:trHeight w:val="310"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 xml:space="preserve">Wykonanie instalacji wod.-kan. i c. o. bez osprzętu </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lang w:val="pl-PL"/>
              </w:rPr>
            </w:pPr>
            <w:r>
              <w:rPr>
                <w:lang w:val="pl-PL"/>
              </w:rPr>
              <w:t>100%</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r>
      <w:tr>
        <w:trPr>
          <w:trHeight w:val="310" w:hRule="atLeast"/>
        </w:trPr>
        <w:tc>
          <w:tcPr>
            <w:tcW w:w="1019"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rFonts w:ascii="Helvetica" w:hAnsi="Helvetica" w:hint="eastAsia"/>
                <w:sz w:val="16"/>
                <w:szCs w:val="16"/>
                <w:lang w:val="pl-PL"/>
              </w:rPr>
            </w:pPr>
            <w:r>
              <w:rPr>
                <w:rFonts w:hint="eastAsia" w:ascii="Helvetica" w:hAnsi="Helvetica"/>
                <w:sz w:val="16"/>
                <w:szCs w:val="16"/>
                <w:lang w:val="pl-PL"/>
              </w:rPr>
            </w:r>
          </w:p>
        </w:tc>
        <w:tc>
          <w:tcPr>
            <w:tcW w:w="5688"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rFonts w:ascii="Helvetica" w:hAnsi="Helvetica" w:hint="eastAsia"/>
                <w:sz w:val="16"/>
                <w:szCs w:val="16"/>
                <w:lang w:val="pl-PL"/>
              </w:rPr>
            </w:pPr>
            <w:r>
              <w:rPr>
                <w:rFonts w:ascii="Helvetica" w:hAnsi="Helvetica"/>
                <w:sz w:val="16"/>
                <w:szCs w:val="16"/>
                <w:lang w:val="pl-PL"/>
              </w:rPr>
              <w:t xml:space="preserve">Zgłoszenie budynków do użytkowania </w:t>
            </w:r>
          </w:p>
        </w:tc>
        <w:tc>
          <w:tcPr>
            <w:tcW w:w="864" w:type="dxa"/>
            <w:tcBorders>
              <w:top w:val="single" w:sz="8" w:space="0" w:color="000000"/>
              <w:start w:val="single" w:sz="8" w:space="0" w:color="000000"/>
              <w:bottom w:val="single" w:sz="8" w:space="0" w:color="000000"/>
              <w:end w:val="single" w:sz="8" w:space="0" w:color="000000"/>
            </w:tcBorders>
            <w:shd w:color="auto" w:fill="auto" w:val="clear"/>
            <w:vAlign w:val="bottom"/>
          </w:tcPr>
          <w:p>
            <w:pPr>
              <w:pStyle w:val="Normal"/>
              <w:spacing w:before="0" w:after="200"/>
              <w:rPr>
                <w:lang w:val="pl-PL"/>
              </w:rPr>
            </w:pPr>
            <w:r>
              <w:rPr>
                <w:lang w:val="pl-PL"/>
              </w:rPr>
              <w:t>100%</w:t>
            </w:r>
          </w:p>
        </w:tc>
        <w:tc>
          <w:tcPr>
            <w:tcW w:w="1205"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c>
          <w:tcPr>
            <w:tcW w:w="1944" w:type="dxa"/>
            <w:vMerge w:val="continue"/>
            <w:tcBorders>
              <w:top w:val="single" w:sz="8" w:space="0" w:color="000000"/>
              <w:start w:val="single" w:sz="8" w:space="0" w:color="000000"/>
              <w:bottom w:val="single" w:sz="8" w:space="0" w:color="000000"/>
              <w:end w:val="single" w:sz="8" w:space="0" w:color="000000"/>
            </w:tcBorders>
            <w:tcMar>
              <w:top w:w="0" w:type="dxa"/>
              <w:start w:w="10" w:type="dxa"/>
              <w:end w:w="10" w:type="dxa"/>
            </w:tcMar>
            <w:vAlign w:val="center"/>
          </w:tcPr>
          <w:p>
            <w:pPr>
              <w:pStyle w:val="Normal"/>
              <w:spacing w:before="0" w:after="200"/>
              <w:rPr>
                <w:lang w:val="pl-PL"/>
              </w:rPr>
            </w:pPr>
            <w:r>
              <w:rPr>
                <w:lang w:val="pl-PL"/>
              </w:rPr>
            </w:r>
          </w:p>
        </w:tc>
      </w:tr>
    </w:tbl>
    <w:p>
      <w:pPr>
        <w:pStyle w:val="Normal"/>
        <w:rPr>
          <w:rFonts w:ascii="Helvetica" w:hAnsi="Helvetica" w:hint="eastAsia"/>
          <w:sz w:val="16"/>
          <w:szCs w:val="16"/>
          <w:lang w:val="pl-PL"/>
        </w:rPr>
      </w:pPr>
      <w:r/>
      <w:r>
        <w:rPr>
          <w:rFonts w:ascii="Helvetica" w:hAnsi="Helvetica"/>
          <w:sz w:val="16"/>
          <w:szCs w:val="16"/>
          <w:lang w:val="pl-PL"/>
        </w:rPr>
        <w:t xml:space="preserve">Załącznik 4 </w:t>
      </w:r>
    </w:p>
    <w:p>
      <w:pPr>
        <w:pStyle w:val="Normal"/>
        <w:jc w:val="center"/>
        <w:rPr>
          <w:b/>
          <w:bCs/>
          <w:sz w:val="20"/>
          <w:szCs w:val="20"/>
        </w:rPr>
      </w:pPr>
      <w:r>
        <w:rPr>
          <w:rFonts w:ascii="Helvetica" w:hAnsi="Helvetica"/>
          <w:b/>
          <w:bCs/>
          <w:sz w:val="20"/>
          <w:szCs w:val="20"/>
          <w:lang w:val="pl-PL"/>
        </w:rPr>
        <w:t>HARMONOGRAM PRZEDSIĘWZIĘCIA</w:t>
      </w:r>
    </w:p>
    <w:p>
      <w:pPr>
        <w:pStyle w:val="Normal"/>
        <w:jc w:val="center"/>
        <w:rPr>
          <w:b/>
          <w:bCs/>
          <w:sz w:val="20"/>
          <w:szCs w:val="20"/>
        </w:rPr>
      </w:pPr>
      <w:r>
        <w:rPr>
          <w:b/>
          <w:bCs/>
          <w:sz w:val="20"/>
          <w:szCs w:val="20"/>
        </w:rPr>
      </w:r>
    </w:p>
    <w:p>
      <w:pPr>
        <w:pStyle w:val="Normal"/>
        <w:spacing w:before="0" w:after="200"/>
        <w:jc w:val="center"/>
        <w:rPr>
          <w:b/>
          <w:bCs/>
          <w:sz w:val="20"/>
          <w:szCs w:val="20"/>
        </w:rPr>
      </w:pPr>
      <w:r>
        <w:rPr>
          <w:b/>
          <w:bCs/>
          <w:sz w:val="20"/>
          <w:szCs w:val="20"/>
        </w:rPr>
      </w:r>
    </w:p>
    <w:sectPr>
      <w:footerReference w:type="even" r:id="rId9"/>
      <w:footerReference w:type="default" r:id="rId10"/>
      <w:footerReference w:type="first" r:id="rId11"/>
      <w:type w:val="nextPage"/>
      <w:pgSz w:w="12240" w:h="15840"/>
      <w:pgMar w:left="1800" w:right="180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Arial">
    <w:charset w:val="01" w:characterSet="utf-8"/>
    <w:family w:val="swiss"/>
    <w:pitch w:val="variable"/>
  </w:font>
  <w:font w:name="Helvetica">
    <w:altName w:val="Arial"/>
    <w:charset w:val="01" w:characterSet="utf-8"/>
    <w:family w:val="roman"/>
    <w:pitch w:val="variable"/>
  </w:font>
  <w:font w:name="Liberation Sans">
    <w:altName w:val="Arial"/>
    <w:charset w:val="01" w:characterSet="utf-8"/>
    <w:family w:val="swiss"/>
    <w:pitch w:val="variable"/>
  </w:font>
  <w:font w:name="Times New Roman">
    <w:charset w:val="01" w:characterSet="utf-8"/>
    <w:family w:val="roman"/>
    <w:pitch w:val="variable"/>
  </w:font>
  <w:font w:name="Helv">
    <w:altName w:val="Arial"/>
    <w:charset w:val="01" w:characterSet="utf-8"/>
    <w:family w:val="swiss"/>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MAYCOM DEVELOPMENT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MAYCOM DEVELOPMENT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8">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9">
    <w:lvl w:ilvl="0">
      <w:start w:val="1"/>
      <w:numFmt w:val="bullet"/>
      <w:lvlText w:val="•"/>
      <w:lvlJc w:val="start"/>
      <w:pPr>
        <w:tabs>
          <w:tab w:val="num" w:pos="720"/>
        </w:tabs>
        <w:ind w:start="720" w:hanging="360"/>
      </w:pPr>
      <w:rPr>
        <w:rFonts w:ascii="Arial" w:hAnsi="Arial" w:cs="Arial" w:hint="default"/>
      </w:rPr>
    </w:lvl>
    <w:lvl w:ilvl="1">
      <w:start w:val="1"/>
      <w:numFmt w:val="bullet"/>
      <w:lvlText w:val="•"/>
      <w:lvlJc w:val="start"/>
      <w:pPr>
        <w:tabs>
          <w:tab w:val="num" w:pos="1440"/>
        </w:tabs>
        <w:ind w:start="1440" w:hanging="360"/>
      </w:pPr>
      <w:rPr>
        <w:rFonts w:ascii="Arial" w:hAnsi="Arial" w:cs="Arial" w:hint="default"/>
      </w:rPr>
    </w:lvl>
    <w:lvl w:ilvl="2">
      <w:start w:val="1"/>
      <w:numFmt w:val="bullet"/>
      <w:lvlText w:val="•"/>
      <w:lvlJc w:val="start"/>
      <w:pPr>
        <w:tabs>
          <w:tab w:val="num" w:pos="2160"/>
        </w:tabs>
        <w:ind w:start="2160" w:hanging="360"/>
      </w:pPr>
      <w:rPr>
        <w:rFonts w:ascii="Arial" w:hAnsi="Arial" w:cs="Arial" w:hint="default"/>
      </w:rPr>
    </w:lvl>
    <w:lvl w:ilvl="3">
      <w:start w:val="1"/>
      <w:numFmt w:val="bullet"/>
      <w:lvlText w:val="•"/>
      <w:lvlJc w:val="start"/>
      <w:pPr>
        <w:tabs>
          <w:tab w:val="num" w:pos="2880"/>
        </w:tabs>
        <w:ind w:start="2880" w:hanging="360"/>
      </w:pPr>
      <w:rPr>
        <w:rFonts w:ascii="Arial" w:hAnsi="Arial" w:cs="Arial" w:hint="default"/>
      </w:rPr>
    </w:lvl>
    <w:lvl w:ilvl="4">
      <w:start w:val="1"/>
      <w:numFmt w:val="bullet"/>
      <w:lvlText w:val="•"/>
      <w:lvlJc w:val="start"/>
      <w:pPr>
        <w:tabs>
          <w:tab w:val="num" w:pos="3600"/>
        </w:tabs>
        <w:ind w:start="3600" w:hanging="360"/>
      </w:pPr>
      <w:rPr>
        <w:rFonts w:ascii="Arial" w:hAnsi="Arial" w:cs="Arial" w:hint="default"/>
      </w:rPr>
    </w:lvl>
    <w:lvl w:ilvl="5">
      <w:start w:val="1"/>
      <w:numFmt w:val="bullet"/>
      <w:lvlText w:val="•"/>
      <w:lvlJc w:val="start"/>
      <w:pPr>
        <w:tabs>
          <w:tab w:val="num" w:pos="4320"/>
        </w:tabs>
        <w:ind w:start="4320" w:hanging="360"/>
      </w:pPr>
      <w:rPr>
        <w:rFonts w:ascii="Arial" w:hAnsi="Arial" w:cs="Arial" w:hint="default"/>
      </w:rPr>
    </w:lvl>
    <w:lvl w:ilvl="6">
      <w:start w:val="1"/>
      <w:numFmt w:val="bullet"/>
      <w:lvlText w:val="•"/>
      <w:lvlJc w:val="start"/>
      <w:pPr>
        <w:tabs>
          <w:tab w:val="num" w:pos="5040"/>
        </w:tabs>
        <w:ind w:start="5040" w:hanging="360"/>
      </w:pPr>
      <w:rPr>
        <w:rFonts w:ascii="Arial" w:hAnsi="Arial" w:cs="Arial" w:hint="default"/>
      </w:rPr>
    </w:lvl>
    <w:lvl w:ilvl="7">
      <w:start w:val="1"/>
      <w:numFmt w:val="bullet"/>
      <w:lvlText w:val="•"/>
      <w:lvlJc w:val="start"/>
      <w:pPr>
        <w:tabs>
          <w:tab w:val="num" w:pos="5760"/>
        </w:tabs>
        <w:ind w:start="5760" w:hanging="360"/>
      </w:pPr>
      <w:rPr>
        <w:rFonts w:ascii="Arial" w:hAnsi="Arial" w:cs="Arial" w:hint="default"/>
      </w:rPr>
    </w:lvl>
    <w:lvl w:ilvl="8">
      <w:start w:val="1"/>
      <w:numFmt w:val="bullet"/>
      <w:lvlText w:val="•"/>
      <w:lvlJc w:val="start"/>
      <w:pPr>
        <w:tabs>
          <w:tab w:val="num" w:pos="6480"/>
        </w:tabs>
        <w:ind w:start="6480" w:hanging="360"/>
      </w:pPr>
      <w:rPr>
        <w:rFonts w:ascii="Arial" w:hAnsi="Arial" w:cs="Arial" w:hint="default"/>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85"/>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suppressAutoHyphens w:val="true"/>
      <w:bidi w:val="0"/>
      <w:spacing w:lineRule="auto" w:line="276" w:before="0" w:after="20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Nagwek1Znak"/>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Nagwek2Znak"/>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Nagwek3Znak"/>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Nagwek4Znak"/>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Nagwek5Znak"/>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Nagwek6Znak"/>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Nagwek7Znak"/>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Nagwek8Znak"/>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Nagwek9Znak"/>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unhideWhenUsed/>
    <w:qFormat/>
    <w:rPr/>
  </w:style>
  <w:style w:type="character" w:styleId="NagwekZnak" w:customStyle="1">
    <w:name w:val="Nagłówek Znak"/>
    <w:basedOn w:val="DefaultParagraphFont"/>
    <w:link w:val="Header"/>
    <w:uiPriority w:val="99"/>
    <w:qFormat/>
    <w:rsid w:val="00e618bf"/>
    <w:rPr/>
  </w:style>
  <w:style w:type="character" w:styleId="StopkaZnak" w:customStyle="1">
    <w:name w:val="Stopka Znak"/>
    <w:basedOn w:val="DefaultParagraphFont"/>
    <w:link w:val="Footer"/>
    <w:uiPriority w:val="99"/>
    <w:qFormat/>
    <w:rsid w:val="00e618bf"/>
    <w:rPr/>
  </w:style>
  <w:style w:type="character" w:styleId="Nagwek1Znak" w:customStyle="1">
    <w:name w:val="Nagłówek 1 Znak"/>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Nagwek2Znak" w:customStyle="1">
    <w:name w:val="Nagłówek 2 Znak"/>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Nagwek3Znak" w:customStyle="1">
    <w:name w:val="Nagłówek 3 Znak"/>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ytuZnak" w:customStyle="1">
    <w:name w:val="Tytuł Znak"/>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PodtytuZnak" w:customStyle="1">
    <w:name w:val="Podtytuł Znak"/>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TekstpodstawowyZnak" w:customStyle="1">
    <w:name w:val="Tekst podstawowy Znak"/>
    <w:basedOn w:val="DefaultParagraphFont"/>
    <w:uiPriority w:val="99"/>
    <w:qFormat/>
    <w:rsid w:val="00aa1d8d"/>
    <w:rPr/>
  </w:style>
  <w:style w:type="character" w:styleId="Tekstpodstawowy2Znak" w:customStyle="1">
    <w:name w:val="Tekst podstawowy 2 Znak"/>
    <w:basedOn w:val="DefaultParagraphFont"/>
    <w:link w:val="BodyText2"/>
    <w:uiPriority w:val="99"/>
    <w:qFormat/>
    <w:rsid w:val="00aa1d8d"/>
    <w:rPr/>
  </w:style>
  <w:style w:type="character" w:styleId="Tekstpodstawowy3Znak" w:customStyle="1">
    <w:name w:val="Tekst podstawowy 3 Znak"/>
    <w:basedOn w:val="DefaultParagraphFont"/>
    <w:link w:val="BodyText3"/>
    <w:uiPriority w:val="99"/>
    <w:qFormat/>
    <w:rsid w:val="00aa1d8d"/>
    <w:rPr>
      <w:sz w:val="16"/>
      <w:szCs w:val="16"/>
    </w:rPr>
  </w:style>
  <w:style w:type="character" w:styleId="TekstmakraZnak" w:customStyle="1">
    <w:name w:val="Tekst makra Znak"/>
    <w:basedOn w:val="DefaultParagraphFont"/>
    <w:link w:val="MacroText"/>
    <w:uiPriority w:val="99"/>
    <w:qFormat/>
    <w:rsid w:val="0029639d"/>
    <w:rPr>
      <w:rFonts w:ascii="Courier" w:hAnsi="Courier"/>
      <w:sz w:val="20"/>
      <w:szCs w:val="20"/>
    </w:rPr>
  </w:style>
  <w:style w:type="character" w:styleId="CytatZnak" w:customStyle="1">
    <w:name w:val="Cytat Znak"/>
    <w:basedOn w:val="DefaultParagraphFont"/>
    <w:link w:val="Quote"/>
    <w:uiPriority w:val="29"/>
    <w:qFormat/>
    <w:rsid w:val="00fc693f"/>
    <w:rPr>
      <w:i/>
      <w:iCs/>
      <w:color w:themeColor="text1" w:val="000000"/>
    </w:rPr>
  </w:style>
  <w:style w:type="character" w:styleId="Nagwek4Znak" w:customStyle="1">
    <w:name w:val="Nagłówek 4 Znak"/>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Nagwek5Znak" w:customStyle="1">
    <w:name w:val="Nagłówek 5 Znak"/>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Nagwek6Znak" w:customStyle="1">
    <w:name w:val="Nagłówek 6 Znak"/>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Nagwek7Znak" w:customStyle="1">
    <w:name w:val="Nagłówek 7 Znak"/>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Nagwek8Znak" w:customStyle="1">
    <w:name w:val="Nagłówek 8 Znak"/>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Nagwek9Znak" w:customStyle="1">
    <w:name w:val="Nagłówek 9 Znak"/>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ytatintensywnyZnak" w:customStyle="1">
    <w:name w:val="Cytat intensywny Znak"/>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apple-converted-space" w:customStyle="1">
    <w:name w:val="apple-converted-space"/>
    <w:basedOn w:val="DefaultParagraphFont"/>
    <w:qFormat/>
    <w:rsid w:val="00184573"/>
    <w:rPr/>
  </w:style>
  <w:style w:type="character" w:styleId="Hyperlink">
    <w:name w:val="Hyperlink"/>
    <w:basedOn w:val="DefaultParagraphFont"/>
    <w:uiPriority w:val="99"/>
    <w:unhideWhenUsed/>
    <w:rsid w:val="00184573"/>
    <w:rPr>
      <w:color w:themeColor="hyperlink" w:val="0000FF"/>
      <w:u w:val="single"/>
    </w:rPr>
  </w:style>
  <w:style w:type="character" w:styleId="Nierozpoznanawzmianka1" w:customStyle="1">
    <w:name w:val="Nierozpoznana wzmianka1"/>
    <w:basedOn w:val="DefaultParagraphFont"/>
    <w:uiPriority w:val="99"/>
    <w:semiHidden/>
    <w:unhideWhenUsed/>
    <w:qFormat/>
    <w:rsid w:val="00184573"/>
    <w:rPr>
      <w:color w:val="605E5C"/>
      <w:shd w:fill="E1DFDD" w:val="clear"/>
    </w:rPr>
  </w:style>
  <w:style w:type="character" w:styleId="FollowedHyperlink">
    <w:name w:val="FollowedHyperlink"/>
    <w:basedOn w:val="DefaultParagraphFont"/>
    <w:uiPriority w:val="99"/>
    <w:semiHidden/>
    <w:unhideWhenUsed/>
    <w:rsid w:val="00547f9e"/>
    <w:rPr>
      <w:color w:themeColor="followedHyperlink" w:val="800080"/>
      <w:u w:val="single"/>
    </w:rPr>
  </w:style>
  <w:style w:type="character" w:styleId="s1" w:customStyle="1">
    <w:name w:val="s1"/>
    <w:basedOn w:val="DefaultParagraphFont"/>
    <w:qFormat/>
    <w:rsid w:val="00416bfa"/>
    <w:rPr>
      <w:rFonts w:ascii="Arial" w:hAnsi="Arial" w:cs="Arial"/>
      <w:sz w:val="12"/>
      <w:szCs w:val="12"/>
    </w:rPr>
  </w:style>
  <w:style w:type="character" w:styleId="s2" w:customStyle="1">
    <w:name w:val="s2"/>
    <w:basedOn w:val="DefaultParagraphFont"/>
    <w:qFormat/>
    <w:rsid w:val="003a415c"/>
    <w:rPr>
      <w:rFonts w:ascii="Helvetica" w:hAnsi="Helvetica"/>
      <w:sz w:val="12"/>
      <w:szCs w:val="12"/>
    </w:rPr>
  </w:style>
  <w:style w:type="character" w:styleId="s3" w:customStyle="1">
    <w:name w:val="s3"/>
    <w:basedOn w:val="DefaultParagraphFont"/>
    <w:qFormat/>
    <w:rsid w:val="003a415c"/>
    <w:rPr>
      <w:rFonts w:ascii="Arial" w:hAnsi="Arial" w:cs="Arial"/>
      <w:sz w:val="8"/>
      <w:szCs w:val="8"/>
    </w:rPr>
  </w:style>
  <w:style w:type="paragraph" w:styleId="Heading" w:customStyle="1">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TekstpodstawowyZnak"/>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customStyle="1">
    <w:name w:val="Index"/>
    <w:basedOn w:val="Normal"/>
    <w:qFormat/>
    <w:pPr>
      <w:suppressLineNumbers/>
    </w:pPr>
    <w:rPr>
      <w:rFonts w:cs="Arial Unicode MS"/>
    </w:rPr>
  </w:style>
  <w:style w:type="paragraph" w:styleId="HeaderandFooter" w:customStyle="1">
    <w:name w:val="Header and Footer"/>
    <w:basedOn w:val="Normal"/>
    <w:qFormat/>
    <w:pPr/>
    <w:rPr/>
  </w:style>
  <w:style w:type="paragraph" w:styleId="Header">
    <w:name w:val="header"/>
    <w:basedOn w:val="Normal"/>
    <w:next w:val="BodyText"/>
    <w:link w:val="NagwekZnak"/>
    <w:uiPriority w:val="99"/>
    <w:unhideWhenUsed/>
    <w:rsid w:val="00e618bf"/>
    <w:pPr>
      <w:tabs>
        <w:tab w:val="clear" w:pos="720"/>
        <w:tab w:val="center" w:pos="4680" w:leader="none"/>
        <w:tab w:val="right" w:pos="9360" w:leader="none"/>
      </w:tabs>
      <w:spacing w:lineRule="auto" w:line="240" w:before="0" w:after="0"/>
    </w:pPr>
    <w:rPr/>
  </w:style>
  <w:style w:type="paragraph" w:styleId="Indeks" w:customStyle="1">
    <w:name w:val="Indeks"/>
    <w:basedOn w:val="Normal"/>
    <w:qFormat/>
    <w:pPr>
      <w:suppressLineNumbers/>
    </w:pPr>
    <w:rPr>
      <w:rFonts w:cs="Arial"/>
    </w:rPr>
  </w:style>
  <w:style w:type="paragraph" w:styleId="Nagwek1" w:customStyle="1">
    <w:name w:val="Nagłówek1"/>
    <w:basedOn w:val="Normal"/>
    <w:next w:val="BodyText"/>
    <w:qFormat/>
    <w:pPr>
      <w:keepNext w:val="true"/>
      <w:spacing w:before="240" w:after="120"/>
    </w:pPr>
    <w:rPr>
      <w:rFonts w:ascii="Liberation Sans" w:hAnsi="Liberation Sans" w:eastAsia="Microsoft YaHei" w:cs="Arial"/>
      <w:sz w:val="28"/>
      <w:szCs w:val="28"/>
    </w:rPr>
  </w:style>
  <w:style w:type="paragraph" w:styleId="Gwkaistopka" w:customStyle="1">
    <w:name w:val="Główka i stopka"/>
    <w:basedOn w:val="Normal"/>
    <w:qFormat/>
    <w:pPr/>
    <w:rPr/>
  </w:style>
  <w:style w:type="paragraph" w:styleId="Footer">
    <w:name w:val="footer"/>
    <w:basedOn w:val="Normal"/>
    <w:link w:val="StopkaZnak"/>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ytuZnak"/>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PodtytuZnak"/>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Tekstpodstawowy2Znak"/>
    <w:uiPriority w:val="99"/>
    <w:unhideWhenUsed/>
    <w:qFormat/>
    <w:rsid w:val="00aa1d8d"/>
    <w:pPr>
      <w:spacing w:lineRule="auto" w:line="480" w:before="0" w:after="120"/>
    </w:pPr>
    <w:rPr/>
  </w:style>
  <w:style w:type="paragraph" w:styleId="BodyText3">
    <w:name w:val="Body Text 3"/>
    <w:basedOn w:val="Normal"/>
    <w:link w:val="Tekstpodstawowy3Znak"/>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TekstmakraZnak"/>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CytatZnak"/>
    <w:uiPriority w:val="29"/>
    <w:qFormat/>
    <w:rsid w:val="00fc693f"/>
    <w:pPr/>
    <w:rPr>
      <w:i/>
      <w:iCs/>
      <w:color w:themeColor="text1" w:val="000000"/>
    </w:rPr>
  </w:style>
  <w:style w:type="paragraph" w:styleId="IntenseQuote">
    <w:name w:val="Intense Quote"/>
    <w:basedOn w:val="Normal"/>
    <w:next w:val="Normal"/>
    <w:link w:val="CytatintensywnyZnak"/>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er"/>
    <w:pPr/>
    <w:rPr/>
  </w:style>
  <w:style w:type="paragraph" w:styleId="TOCHeading">
    <w:name w:val="TOC Heading"/>
    <w:basedOn w:val="Heading1"/>
    <w:next w:val="Normal"/>
    <w:uiPriority w:val="39"/>
    <w:semiHidden/>
    <w:unhideWhenUsed/>
    <w:qFormat/>
    <w:rsid w:val="00fc693f"/>
    <w:pPr>
      <w:outlineLvl w:val="9"/>
    </w:pPr>
    <w:rPr/>
  </w:style>
  <w:style w:type="paragraph" w:styleId="p1" w:customStyle="1">
    <w:name w:val="p1"/>
    <w:basedOn w:val="Normal"/>
    <w:qFormat/>
    <w:rsid w:val="00184573"/>
    <w:pPr>
      <w:spacing w:lineRule="auto" w:line="240" w:before="0" w:after="0"/>
    </w:pPr>
    <w:rPr>
      <w:rFonts w:ascii="Helvetica" w:hAnsi="Helvetica" w:eastAsia="Times New Roman" w:cs="Times New Roman"/>
      <w:color w:val="000000"/>
      <w:sz w:val="12"/>
      <w:szCs w:val="12"/>
      <w:lang w:val="pl-PL" w:eastAsia="zh-CN"/>
    </w:rPr>
  </w:style>
  <w:style w:type="paragraph" w:styleId="p2" w:customStyle="1">
    <w:name w:val="p2"/>
    <w:basedOn w:val="Normal"/>
    <w:qFormat/>
    <w:rsid w:val="00547f9e"/>
    <w:pPr>
      <w:spacing w:lineRule="auto" w:line="240" w:before="0" w:after="0"/>
    </w:pPr>
    <w:rPr>
      <w:rFonts w:ascii="Helvetica" w:hAnsi="Helvetica" w:eastAsia="Times New Roman" w:cs="Times New Roman"/>
      <w:color w:val="000000"/>
      <w:sz w:val="12"/>
      <w:szCs w:val="12"/>
      <w:lang w:val="pl-PL" w:eastAsia="zh-CN"/>
    </w:rPr>
  </w:style>
  <w:style w:type="paragraph" w:styleId="NormalWeb">
    <w:name w:val="Normal (Web)"/>
    <w:basedOn w:val="Normal"/>
    <w:uiPriority w:val="99"/>
    <w:unhideWhenUsed/>
    <w:qFormat/>
    <w:rsid w:val="00416bfa"/>
    <w:pPr>
      <w:spacing w:lineRule="auto" w:line="240" w:beforeAutospacing="1" w:afterAutospacing="1"/>
    </w:pPr>
    <w:rPr>
      <w:rFonts w:ascii="Times New Roman" w:hAnsi="Times New Roman" w:eastAsia="Times New Roman" w:cs="Times New Roman"/>
      <w:sz w:val="24"/>
      <w:szCs w:val="24"/>
      <w:lang w:val="pl-PL" w:eastAsia="zh-CN"/>
    </w:rPr>
  </w:style>
  <w:style w:type="paragraph" w:styleId="Zawartoramki" w:customStyle="1">
    <w:name w:val="Zawartość ramki"/>
    <w:basedOn w:val="Normal"/>
    <w:qFormat/>
    <w:pPr/>
    <w:rPr/>
  </w:style>
  <w:style w:type="paragraph" w:styleId="FrameContents" w:customStyle="1">
    <w:name w:val="Frame Contents"/>
    <w:basedOn w:val="Normal"/>
    <w:qFormat/>
    <w:pPr/>
    <w:rPr/>
  </w:style>
  <w:style w:type="paragraph" w:styleId="FrameContentsuser" w:customStyle="1">
    <w:name w:val="Frame Contents (user)"/>
    <w:basedOn w:val="Normal"/>
    <w:qFormat/>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fc69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Jasnecieniowanie">
    <w:name w:val="Light Shading"/>
    <w:basedOn w:val="Standardowy"/>
    <w:uiPriority w:val="60"/>
    <w:rsid w:val="00fc693f"/>
    <w:rPr>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rPr>
      <w:color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rPr>
      <w:color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rPr>
      <w:color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rPr>
      <w:color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rPr>
      <w:color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rPr>
      <w:color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Jasnalistaakcent1">
    <w:name w:val="Light List Accent 1"/>
    <w:basedOn w:val="Standardowy"/>
    <w:uiPriority w:val="61"/>
    <w:rsid w:val="00fc693f"/>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Jasnalistaakcent2">
    <w:name w:val="Light List Accent 2"/>
    <w:basedOn w:val="Standardowy"/>
    <w:uiPriority w:val="61"/>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Jasnalistaakcent3">
    <w:name w:val="Light List Accent 3"/>
    <w:basedOn w:val="Standardowy"/>
    <w:uiPriority w:val="61"/>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Jasnalistaakcent4">
    <w:name w:val="Light List Accent 4"/>
    <w:basedOn w:val="Standardowy"/>
    <w:uiPriority w:val="61"/>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Jasnalistaakcent5">
    <w:name w:val="Light List Accent 5"/>
    <w:basedOn w:val="Standardowy"/>
    <w:uiPriority w:val="61"/>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Jasnalistaakcent6">
    <w:name w:val="Light List Accent 6"/>
    <w:basedOn w:val="Standardowy"/>
    <w:uiPriority w:val="61"/>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Jasnasiatka">
    <w:name w:val="Light Grid"/>
    <w:basedOn w:val="Standardowy"/>
    <w:uiPriority w:val="62"/>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Jasnasiatkaakcent1">
    <w:name w:val="Light Grid Accent 1"/>
    <w:basedOn w:val="Standardowy"/>
    <w:uiPriority w:val="62"/>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Jasnasiatkaakcent2">
    <w:name w:val="Light Grid Accent 2"/>
    <w:basedOn w:val="Standardowy"/>
    <w:uiPriority w:val="62"/>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Jasnasiatkaakcent3">
    <w:name w:val="Light Grid Accent 3"/>
    <w:basedOn w:val="Standardowy"/>
    <w:uiPriority w:val="62"/>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Jasnasiatkaakcent4">
    <w:name w:val="Light Grid Accent 4"/>
    <w:basedOn w:val="Standardowy"/>
    <w:uiPriority w:val="62"/>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Jasnasiatkaakcent5">
    <w:name w:val="Light Grid Accent 5"/>
    <w:basedOn w:val="Standardowy"/>
    <w:uiPriority w:val="62"/>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Jasnasiatkaakcent6">
    <w:name w:val="Light Grid Accent 6"/>
    <w:basedOn w:val="Standardowy"/>
    <w:uiPriority w:val="62"/>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redniecieniowanie1">
    <w:name w:val="Medium Shading 1"/>
    <w:basedOn w:val="Standardowy"/>
    <w:uiPriority w:val="63"/>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1">
    <w:name w:val="Medium Shading 2 Accent 1"/>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2">
    <w:name w:val="Medium Shading 2 Accent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3">
    <w:name w:val="Medium Shading 2 Accent 3"/>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4">
    <w:name w:val="Medium Shading 2 Accent 4"/>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5">
    <w:name w:val="Medium Shading 2 Accent 5"/>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6">
    <w:name w:val="Medium Shading 2 Accent 6"/>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alista1">
    <w:name w:val="Medium List 1"/>
    <w:basedOn w:val="Standardowy"/>
    <w:uiPriority w:val="65"/>
    <w:rsid w:val="00cb0664"/>
    <w:rPr>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rPr>
      <w:color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rPr>
      <w:color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rPr>
      <w:color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rPr>
      <w:color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rPr>
      <w:color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rPr>
      <w:color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4F81B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0504D"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9BBB59"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8064A2"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4BACC6"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79646"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redniasiatka3akcent1">
    <w:name w:val="Medium Grid 3 Accent 1"/>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redniasiatka3akcent2">
    <w:name w:val="Medium Grid 3 Accent 2"/>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redniasiatka3akcent3">
    <w:name w:val="Medium Grid 3 Accent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redniasiatka3akcent4">
    <w:name w:val="Medium Grid 3 Accent 4"/>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redniasiatka3akcent5">
    <w:name w:val="Medium Grid 3 Accent 5"/>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redniasiatka3akcent6">
    <w:name w:val="Medium Grid 3 Accent 6"/>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Ciemnalista">
    <w:name w:val="Dark List"/>
    <w:basedOn w:val="Standardowy"/>
    <w:uiPriority w:val="70"/>
    <w:rsid w:val="00cb0664"/>
    <w:rPr>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rPr>
      <w:color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rPr>
      <w:color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rPr>
      <w:color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rPr>
      <w:color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rPr>
      <w:color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rPr>
      <w:color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Kolorowecieniowanieakcent1">
    <w:name w:val="Colorful Shading Accent 1"/>
    <w:basedOn w:val="Standardowy"/>
    <w:uiPriority w:val="71"/>
    <w:rsid w:val="00cb0664"/>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4F81BD"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Kolorowecieniowanieakcent2">
    <w:name w:val="Colorful Shading Accent 2"/>
    <w:basedOn w:val="Standardowy"/>
    <w:uiPriority w:val="71"/>
    <w:rsid w:val="00cb0664"/>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C0504D"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Kolorowecieniowanieakcent3">
    <w:name w:val="Colorful Shading Accent 3"/>
    <w:basedOn w:val="Standardowy"/>
    <w:uiPriority w:val="71"/>
    <w:rsid w:val="00cb0664"/>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9BBB59"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8064A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Kolorowecieniowanieakcent5">
    <w:name w:val="Colorful Shading Accent 5"/>
    <w:basedOn w:val="Standardowy"/>
    <w:uiPriority w:val="71"/>
    <w:rsid w:val="00cb0664"/>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4BACC6"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Kolorowecieniowanieakcent6">
    <w:name w:val="Colorful Shading Accent 6"/>
    <w:basedOn w:val="Standardowy"/>
    <w:uiPriority w:val="71"/>
    <w:rsid w:val="00cb0664"/>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F79646"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Kolorowalista">
    <w:name w:val="Colorful List"/>
    <w:basedOn w:val="Standardowy"/>
    <w:uiPriority w:val="72"/>
    <w:rsid w:val="00cb0664"/>
    <w:rPr>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rPr>
      <w:color w:themeColor="text1"/>
    </w:rPr>
    <w:tblPr>
      <w:tblStyleRowBandSize w:val="1"/>
      <w:tblStyleColBandSize w:val="1"/>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rPr>
      <w:color w:themeColor="text1"/>
    </w:rPr>
    <w:tblPr>
      <w:tblStyleRowBandSize w:val="1"/>
      <w:tblStyleColBandSize w:val="1"/>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rPr>
      <w:color w:themeColor="text1"/>
    </w:rPr>
    <w:tblPr>
      <w:tblStyleRowBandSize w:val="1"/>
      <w:tblStyleColBandSize w:val="1"/>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rPr>
      <w:color w:themeColor="text1"/>
    </w:rPr>
    <w:tblPr>
      <w:tblStyleRowBandSize w:val="1"/>
      <w:tblStyleColBandSize w:val="1"/>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rPr>
      <w:color w:themeColor="text1"/>
    </w:rPr>
    <w:tblPr>
      <w:tblStyleRowBandSize w:val="1"/>
      <w:tblStyleColBandSize w:val="1"/>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rPr>
      <w:color w:themeColor="text1"/>
    </w:rPr>
    <w:tblPr>
      <w:tblStyleRowBandSize w:val="1"/>
      <w:tblStyleColBandSize w:val="1"/>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iuro@maycom.pl" TargetMode="External"/><Relationship Id="rId4" Type="http://schemas.openxmlformats.org/officeDocument/2006/relationships/hyperlink" Target="https://sip.lex.pl/" TargetMode="External"/><Relationship Id="rId5" Type="http://schemas.openxmlformats.org/officeDocument/2006/relationships/hyperlink" Target="https://sip.lex.pl/" TargetMode="External"/><Relationship Id="rId6" Type="http://schemas.openxmlformats.org/officeDocument/2006/relationships/hyperlink" Target="https://sip.lex.pl/" TargetMode="External"/><Relationship Id="rId7" Type="http://schemas.openxmlformats.org/officeDocument/2006/relationships/hyperlink" Target="https://sip.lex.pl/" TargetMode="External"/><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ED38A-EED7-4DEE-AC77-1CAB6BA8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Application>LibreOffice/25.8.2.2$MacOSX_AARCH64 LibreOffice_project/d401f2107ccab8f924a8e2df40f573aab7605b6f</Application>
  <AppVersion>15.0000</AppVersion>
  <Pages>12</Pages>
  <Words>4586</Words>
  <Characters>31249</Characters>
  <CharactersWithSpaces>35765</CharactersWithSpaces>
  <Paragraphs>599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2026-02-13T13:22:00Z</dcterms:created>
  <dc:creator>python-docx</dc:creator>
  <dc:description>generated by python-docx</dc:description>
  <dc:language>pl-PL</dc:language>
  <cp:lastModifiedBy/>
  <dcterms:modified xsi:type="dcterms:W3CDTF">2026-06-10T15:14:24Z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